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6A67DD" w:rsidRDefault="00812EE3" w:rsidP="006A67DD">
      <w:pPr>
        <w:pStyle w:val="NormalWeb"/>
        <w:spacing w:after="0"/>
        <w:jc w:val="center"/>
        <w:rPr>
          <w:b/>
          <w:bCs/>
          <w:sz w:val="24"/>
        </w:rPr>
      </w:pPr>
      <w:r w:rsidRPr="006A67DD">
        <w:rPr>
          <w:b/>
          <w:bCs/>
          <w:sz w:val="24"/>
        </w:rPr>
        <w:t>IN RE: OLGA ROIFE Debtor(s)</w:t>
      </w:r>
    </w:p>
    <w:p w:rsidR="00000000" w:rsidRPr="006A67DD" w:rsidRDefault="00812EE3" w:rsidP="006A67DD">
      <w:pPr>
        <w:pStyle w:val="NormalWeb"/>
        <w:spacing w:after="0"/>
        <w:jc w:val="center"/>
        <w:rPr>
          <w:b/>
          <w:bCs/>
          <w:sz w:val="24"/>
        </w:rPr>
      </w:pPr>
      <w:r w:rsidRPr="006A67DD">
        <w:rPr>
          <w:b/>
          <w:bCs/>
          <w:sz w:val="24"/>
        </w:rPr>
        <w:t>CASE NO: 10-34070</w:t>
      </w:r>
    </w:p>
    <w:p w:rsidR="00000000" w:rsidRPr="006A67DD" w:rsidRDefault="00812EE3" w:rsidP="006A67DD">
      <w:pPr>
        <w:pStyle w:val="NormalWeb"/>
        <w:spacing w:after="0"/>
        <w:jc w:val="center"/>
        <w:rPr>
          <w:b/>
          <w:bCs/>
          <w:sz w:val="24"/>
        </w:rPr>
      </w:pPr>
      <w:r w:rsidRPr="006A67DD">
        <w:rPr>
          <w:b/>
          <w:bCs/>
          <w:sz w:val="24"/>
        </w:rPr>
        <w:t>UNITED STATES BANKRUPTCY COURT FOR THE SOUTHERN DISTRICT OF TEXAS HOUSTON DIVISION</w:t>
      </w:r>
    </w:p>
    <w:p w:rsidR="00000000" w:rsidRPr="006A67DD" w:rsidRDefault="00812EE3" w:rsidP="006A67DD">
      <w:pPr>
        <w:pStyle w:val="NormalWeb"/>
        <w:spacing w:after="0"/>
        <w:jc w:val="center"/>
        <w:rPr>
          <w:b/>
          <w:bCs/>
          <w:sz w:val="24"/>
        </w:rPr>
      </w:pPr>
      <w:r w:rsidRPr="006A67DD">
        <w:rPr>
          <w:b/>
          <w:bCs/>
          <w:sz w:val="24"/>
        </w:rPr>
        <w:t>SIGNED: November 26, 2013</w:t>
      </w:r>
    </w:p>
    <w:p w:rsidR="00000000" w:rsidRPr="006A67DD" w:rsidRDefault="00812EE3" w:rsidP="006A67DD">
      <w:pPr>
        <w:jc w:val="center"/>
        <w:rPr>
          <w:sz w:val="24"/>
          <w:szCs w:val="24"/>
        </w:rPr>
      </w:pPr>
    </w:p>
    <w:p w:rsidR="00F6728D" w:rsidRPr="006A67DD" w:rsidRDefault="00F6728D" w:rsidP="006A67DD">
      <w:pPr>
        <w:jc w:val="left"/>
        <w:rPr>
          <w:sz w:val="24"/>
          <w:szCs w:val="24"/>
        </w:rPr>
        <w:sectPr w:rsidR="00F6728D" w:rsidRPr="006A67DD" w:rsidSect="00532424">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432" w:gutter="0"/>
          <w:cols w:space="720"/>
          <w:docGrid w:linePitch="360"/>
        </w:sectPr>
      </w:pPr>
    </w:p>
    <w:p w:rsidR="00000000" w:rsidRPr="006A67DD" w:rsidRDefault="00812EE3" w:rsidP="006A67DD">
      <w:pPr>
        <w:jc w:val="left"/>
        <w:divId w:val="957180244"/>
        <w:rPr>
          <w:sz w:val="24"/>
          <w:szCs w:val="24"/>
        </w:rPr>
      </w:pPr>
      <w:r w:rsidRPr="006A67DD">
        <w:rPr>
          <w:b/>
          <w:bCs/>
          <w:sz w:val="24"/>
          <w:szCs w:val="24"/>
        </w:rPr>
        <w:lastRenderedPageBreak/>
        <w:t xml:space="preserve">CHAPTER </w:t>
      </w:r>
      <w:proofErr w:type="gramStart"/>
      <w:r w:rsidRPr="006A67DD">
        <w:rPr>
          <w:b/>
          <w:bCs/>
          <w:sz w:val="24"/>
          <w:szCs w:val="24"/>
        </w:rPr>
        <w:t>13</w:t>
      </w:r>
      <w:r w:rsidRPr="006A67DD">
        <w:rPr>
          <w:sz w:val="24"/>
          <w:szCs w:val="24"/>
        </w:rPr>
        <w:br/>
      </w:r>
      <w:r w:rsidRPr="006A67DD">
        <w:rPr>
          <w:b/>
          <w:bCs/>
          <w:sz w:val="24"/>
          <w:szCs w:val="24"/>
          <w:u w:val="single"/>
        </w:rPr>
        <w:t>MEMORANDUM OPINION</w:t>
      </w:r>
      <w:proofErr w:type="gramEnd"/>
    </w:p>
    <w:p w:rsidR="00000000" w:rsidRPr="006A67DD" w:rsidRDefault="00812EE3" w:rsidP="006A67DD">
      <w:pPr>
        <w:pStyle w:val="NormalWeb"/>
        <w:jc w:val="left"/>
        <w:divId w:val="957180244"/>
        <w:rPr>
          <w:rFonts w:eastAsiaTheme="minorEastAsia"/>
          <w:sz w:val="24"/>
        </w:rPr>
      </w:pPr>
      <w:r w:rsidRPr="006A67DD">
        <w:rPr>
          <w:sz w:val="24"/>
        </w:rPr>
        <w:t xml:space="preserve">        Olga </w:t>
      </w:r>
      <w:proofErr w:type="spellStart"/>
      <w:r w:rsidRPr="006A67DD">
        <w:rPr>
          <w:sz w:val="24"/>
        </w:rPr>
        <w:t>Roife's</w:t>
      </w:r>
      <w:proofErr w:type="spellEnd"/>
      <w:r w:rsidRPr="006A67DD">
        <w:rPr>
          <w:sz w:val="24"/>
        </w:rPr>
        <w:t xml:space="preserve"> Objection to Notice of Post-Petition Mortgage Fees, Expenses and Charges (ECF No. 56) is sustained, in part, and overruled, in part.</w:t>
      </w:r>
    </w:p>
    <w:p w:rsidR="00000000" w:rsidRPr="006A67DD" w:rsidRDefault="00812EE3" w:rsidP="006A67DD">
      <w:pPr>
        <w:jc w:val="left"/>
        <w:divId w:val="957180244"/>
        <w:rPr>
          <w:sz w:val="24"/>
          <w:szCs w:val="24"/>
        </w:rPr>
      </w:pPr>
      <w:r w:rsidRPr="006A67DD">
        <w:rPr>
          <w:b/>
          <w:bCs/>
          <w:sz w:val="24"/>
          <w:szCs w:val="24"/>
        </w:rPr>
        <w:t>Background</w:t>
      </w:r>
    </w:p>
    <w:p w:rsidR="00000000" w:rsidRPr="006A67DD" w:rsidRDefault="00812EE3" w:rsidP="006A67DD">
      <w:pPr>
        <w:pStyle w:val="NormalWeb"/>
        <w:jc w:val="left"/>
        <w:divId w:val="957180244"/>
        <w:rPr>
          <w:rFonts w:eastAsiaTheme="minorEastAsia"/>
          <w:sz w:val="24"/>
        </w:rPr>
      </w:pPr>
      <w:r w:rsidRPr="006A67DD">
        <w:rPr>
          <w:sz w:val="24"/>
        </w:rPr>
        <w:t xml:space="preserve">        Ms. </w:t>
      </w:r>
      <w:proofErr w:type="spellStart"/>
      <w:r w:rsidRPr="006A67DD">
        <w:rPr>
          <w:sz w:val="24"/>
        </w:rPr>
        <w:t>Roife</w:t>
      </w:r>
      <w:proofErr w:type="spellEnd"/>
      <w:r w:rsidRPr="006A67DD">
        <w:rPr>
          <w:sz w:val="24"/>
        </w:rPr>
        <w:t xml:space="preserve"> filed a voluntary chapter 13 petition on May 14, 2010. Her plan was confirmed on July 23, 2010. Section 7 of Ms. </w:t>
      </w:r>
      <w:proofErr w:type="spellStart"/>
      <w:r w:rsidRPr="006A67DD">
        <w:rPr>
          <w:sz w:val="24"/>
        </w:rPr>
        <w:t>Roife's</w:t>
      </w:r>
      <w:proofErr w:type="spellEnd"/>
      <w:r w:rsidRPr="006A67DD">
        <w:rPr>
          <w:sz w:val="24"/>
        </w:rPr>
        <w:t xml:space="preserve"> confirmed plan provides that </w:t>
      </w:r>
      <w:proofErr w:type="spellStart"/>
      <w:r w:rsidRPr="006A67DD">
        <w:rPr>
          <w:sz w:val="24"/>
        </w:rPr>
        <w:t>Midfirst</w:t>
      </w:r>
      <w:proofErr w:type="spellEnd"/>
      <w:r w:rsidRPr="006A67DD">
        <w:rPr>
          <w:sz w:val="24"/>
        </w:rPr>
        <w:t xml:space="preserve"> Bank will be paid in accordance with the parties' pre-petition contract. ECF No</w:t>
      </w:r>
      <w:r w:rsidRPr="006A67DD">
        <w:rPr>
          <w:sz w:val="24"/>
        </w:rPr>
        <w:t xml:space="preserve">. 2 at 4. On June 20, 2013, </w:t>
      </w:r>
      <w:proofErr w:type="spellStart"/>
      <w:r w:rsidRPr="00142EE9">
        <w:rPr>
          <w:sz w:val="24"/>
        </w:rPr>
        <w:t>Midfirst</w:t>
      </w:r>
      <w:proofErr w:type="spellEnd"/>
      <w:r w:rsidRPr="00142EE9">
        <w:rPr>
          <w:sz w:val="24"/>
        </w:rPr>
        <w:t xml:space="preserve"> filed its Notice of Post-Petition Mortgage Fees, Expenses and Charges, pursuant to Bankruptcy Rule 3002.1(c).</w:t>
      </w:r>
      <w:r w:rsidRPr="006A67DD">
        <w:rPr>
          <w:sz w:val="24"/>
        </w:rPr>
        <w:t xml:space="preserve"> ECF No. 55. The Fee Notice provided for late charges in the amount of $142.26 and legal fees of $125.00.</w:t>
      </w:r>
      <w:bookmarkStart w:id="0" w:name="fn1"/>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w:instrText>
      </w:r>
      <w:r w:rsidRPr="006A67DD">
        <w:rPr>
          <w:sz w:val="24"/>
          <w:vertAlign w:val="superscript"/>
        </w:rPr>
        <w:instrText>LINK "" \l "fr1"</w:instrText>
      </w:r>
      <w:r w:rsidRPr="006A67DD">
        <w:rPr>
          <w:sz w:val="24"/>
          <w:vertAlign w:val="superscript"/>
        </w:rPr>
        <w:instrText xml:space="preserve"> </w:instrText>
      </w:r>
      <w:r w:rsidRPr="006A67DD">
        <w:rPr>
          <w:sz w:val="24"/>
          <w:vertAlign w:val="superscript"/>
        </w:rPr>
        <w:fldChar w:fldCharType="separate"/>
      </w:r>
      <w:proofErr w:type="gramStart"/>
      <w:r w:rsidRPr="006A67DD">
        <w:rPr>
          <w:rStyle w:val="Hyperlink"/>
          <w:sz w:val="24"/>
          <w:vertAlign w:val="superscript"/>
        </w:rPr>
        <w:t>1</w:t>
      </w:r>
      <w:r w:rsidRPr="006A67DD">
        <w:rPr>
          <w:sz w:val="24"/>
          <w:vertAlign w:val="superscript"/>
        </w:rPr>
        <w:fldChar w:fldCharType="end"/>
      </w:r>
      <w:bookmarkEnd w:id="0"/>
      <w:r w:rsidRPr="006A67DD">
        <w:rPr>
          <w:sz w:val="24"/>
        </w:rPr>
        <w:t xml:space="preserve"> ECF No. 55 at 1.</w:t>
      </w:r>
      <w:proofErr w:type="gramEnd"/>
      <w:r w:rsidRPr="006A67DD">
        <w:rPr>
          <w:sz w:val="24"/>
        </w:rPr>
        <w:t xml:space="preserve"> On September 9, 2013, Ms. </w:t>
      </w:r>
      <w:proofErr w:type="spellStart"/>
      <w:r w:rsidRPr="006A67DD">
        <w:rPr>
          <w:sz w:val="24"/>
        </w:rPr>
        <w:t>Roife</w:t>
      </w:r>
      <w:proofErr w:type="spellEnd"/>
      <w:r w:rsidRPr="006A67DD">
        <w:rPr>
          <w:sz w:val="24"/>
        </w:rPr>
        <w:t xml:space="preserve"> filed an Objection to Notice of Post-Petition Mortgage Fees, Expenses and Charges and Motion for Determination of Fees, Expenses and Charges. ECF No. 56. Ms. </w:t>
      </w:r>
      <w:proofErr w:type="spellStart"/>
      <w:r w:rsidRPr="006A67DD">
        <w:rPr>
          <w:sz w:val="24"/>
        </w:rPr>
        <w:t>Roife</w:t>
      </w:r>
      <w:proofErr w:type="spellEnd"/>
      <w:r w:rsidRPr="006A67DD">
        <w:rPr>
          <w:sz w:val="24"/>
        </w:rPr>
        <w:t xml:space="preserve"> had the following ob</w:t>
      </w:r>
      <w:r w:rsidRPr="006A67DD">
        <w:rPr>
          <w:sz w:val="24"/>
        </w:rPr>
        <w:t>jections:</w:t>
      </w:r>
      <w:bookmarkStart w:id="1" w:name="_GoBack"/>
      <w:bookmarkEnd w:id="1"/>
    </w:p>
    <w:p w:rsidR="00000000" w:rsidRPr="006A67DD" w:rsidRDefault="00812EE3" w:rsidP="006A67DD">
      <w:pPr>
        <w:jc w:val="left"/>
        <w:divId w:val="417335969"/>
        <w:rPr>
          <w:sz w:val="24"/>
          <w:szCs w:val="24"/>
        </w:rPr>
      </w:pPr>
      <w:r w:rsidRPr="006A67DD">
        <w:rPr>
          <w:sz w:val="24"/>
          <w:szCs w:val="24"/>
        </w:rPr>
        <w:t xml:space="preserve">1. </w:t>
      </w:r>
      <w:proofErr w:type="spellStart"/>
      <w:r w:rsidRPr="006A67DD">
        <w:rPr>
          <w:sz w:val="24"/>
          <w:szCs w:val="24"/>
        </w:rPr>
        <w:t>Midfirst</w:t>
      </w:r>
      <w:proofErr w:type="spellEnd"/>
      <w:r w:rsidRPr="006A67DD">
        <w:rPr>
          <w:sz w:val="24"/>
          <w:szCs w:val="24"/>
        </w:rPr>
        <w:t xml:space="preserve"> failed to properly itemize the claim and instead lumped fees together, failing to delineate the exact amounts incurred on respective dates</w:t>
      </w:r>
      <w:proofErr w:type="gramStart"/>
      <w:r w:rsidRPr="006A67DD">
        <w:rPr>
          <w:sz w:val="24"/>
          <w:szCs w:val="24"/>
        </w:rPr>
        <w:t>;</w:t>
      </w:r>
      <w:proofErr w:type="gramEnd"/>
      <w:r w:rsidRPr="006A67DD">
        <w:rPr>
          <w:sz w:val="24"/>
          <w:szCs w:val="24"/>
        </w:rPr>
        <w:br/>
        <w:t xml:space="preserve">2. </w:t>
      </w:r>
      <w:proofErr w:type="spellStart"/>
      <w:r w:rsidRPr="006A67DD">
        <w:rPr>
          <w:sz w:val="24"/>
          <w:szCs w:val="24"/>
        </w:rPr>
        <w:t>Midfirst</w:t>
      </w:r>
      <w:proofErr w:type="spellEnd"/>
      <w:r w:rsidRPr="006A67DD">
        <w:rPr>
          <w:sz w:val="24"/>
          <w:szCs w:val="24"/>
        </w:rPr>
        <w:t xml:space="preserve"> failed to show that it is entitled to collect post-petition legal fees on a claim </w:t>
      </w:r>
      <w:r w:rsidRPr="006A67DD">
        <w:rPr>
          <w:sz w:val="24"/>
          <w:szCs w:val="24"/>
        </w:rPr>
        <w:t>that had not been accelerated prior to the commencement of the bankruptcy case;</w:t>
      </w:r>
    </w:p>
    <w:p w:rsidR="00000000" w:rsidRPr="006A67DD" w:rsidRDefault="00812EE3" w:rsidP="006A67DD">
      <w:pPr>
        <w:pStyle w:val="NormalWeb"/>
        <w:jc w:val="left"/>
        <w:divId w:val="957180244"/>
        <w:rPr>
          <w:rFonts w:eastAsiaTheme="minorEastAsia"/>
          <w:sz w:val="24"/>
        </w:rPr>
      </w:pPr>
      <w:r w:rsidRPr="006A67DD">
        <w:rPr>
          <w:sz w:val="24"/>
        </w:rPr>
        <w:t>Page 2</w:t>
      </w:r>
    </w:p>
    <w:p w:rsidR="00000000" w:rsidRPr="006A67DD" w:rsidRDefault="00812EE3" w:rsidP="006A67DD">
      <w:pPr>
        <w:jc w:val="left"/>
        <w:divId w:val="1246963322"/>
        <w:rPr>
          <w:sz w:val="24"/>
          <w:szCs w:val="24"/>
        </w:rPr>
      </w:pPr>
      <w:r w:rsidRPr="006A67DD">
        <w:rPr>
          <w:sz w:val="24"/>
          <w:szCs w:val="24"/>
        </w:rPr>
        <w:t xml:space="preserve">3. </w:t>
      </w:r>
      <w:proofErr w:type="spellStart"/>
      <w:r w:rsidRPr="006A67DD">
        <w:rPr>
          <w:sz w:val="24"/>
          <w:szCs w:val="24"/>
        </w:rPr>
        <w:t>Midfirst</w:t>
      </w:r>
      <w:proofErr w:type="spellEnd"/>
      <w:r w:rsidRPr="006A67DD">
        <w:rPr>
          <w:sz w:val="24"/>
          <w:szCs w:val="24"/>
        </w:rPr>
        <w:t xml:space="preserve"> failed to provide bills, statements, fee slips or other documentation supporting that the fee was actually incurred, or is otherwise proper;</w:t>
      </w:r>
      <w:r w:rsidRPr="006A67DD">
        <w:rPr>
          <w:sz w:val="24"/>
          <w:szCs w:val="24"/>
        </w:rPr>
        <w:br/>
        <w:t>4. The legal fe</w:t>
      </w:r>
      <w:r w:rsidRPr="006A67DD">
        <w:rPr>
          <w:sz w:val="24"/>
          <w:szCs w:val="24"/>
        </w:rPr>
        <w:t xml:space="preserve">es should not include fees incurred in filing the April 9, 2013 Notice of Mortgage Payment Change and the June 20, 2013 Notice of </w:t>
      </w:r>
      <w:proofErr w:type="spellStart"/>
      <w:r w:rsidRPr="006A67DD">
        <w:rPr>
          <w:sz w:val="24"/>
          <w:szCs w:val="24"/>
        </w:rPr>
        <w:t>Postpetition</w:t>
      </w:r>
      <w:proofErr w:type="spellEnd"/>
      <w:r w:rsidRPr="006A67DD">
        <w:rPr>
          <w:sz w:val="24"/>
          <w:szCs w:val="24"/>
        </w:rPr>
        <w:t xml:space="preserve"> Fees</w:t>
      </w:r>
      <w:proofErr w:type="gramStart"/>
      <w:r w:rsidRPr="006A67DD">
        <w:rPr>
          <w:sz w:val="24"/>
          <w:szCs w:val="24"/>
        </w:rPr>
        <w:t>;</w:t>
      </w:r>
      <w:proofErr w:type="gramEnd"/>
      <w:r w:rsidRPr="006A67DD">
        <w:rPr>
          <w:sz w:val="24"/>
          <w:szCs w:val="24"/>
        </w:rPr>
        <w:br/>
        <w:t xml:space="preserve">5. </w:t>
      </w:r>
      <w:proofErr w:type="spellStart"/>
      <w:r w:rsidRPr="006A67DD">
        <w:rPr>
          <w:sz w:val="24"/>
          <w:szCs w:val="24"/>
        </w:rPr>
        <w:t>Midfirst</w:t>
      </w:r>
      <w:proofErr w:type="spellEnd"/>
      <w:r w:rsidRPr="006A67DD">
        <w:rPr>
          <w:sz w:val="24"/>
          <w:szCs w:val="24"/>
        </w:rPr>
        <w:t xml:space="preserve"> has failed to show that the fees were required to be paid in order to cure a default or maintai</w:t>
      </w:r>
      <w:r w:rsidRPr="006A67DD">
        <w:rPr>
          <w:sz w:val="24"/>
          <w:szCs w:val="24"/>
        </w:rPr>
        <w:t>n payments pursuant to 11 U.S.C. § 1322(b</w:t>
      </w:r>
      <w:proofErr w:type="gramStart"/>
      <w:r w:rsidRPr="006A67DD">
        <w:rPr>
          <w:sz w:val="24"/>
          <w:szCs w:val="24"/>
        </w:rPr>
        <w:t>)(</w:t>
      </w:r>
      <w:proofErr w:type="gramEnd"/>
      <w:r w:rsidRPr="006A67DD">
        <w:rPr>
          <w:sz w:val="24"/>
          <w:szCs w:val="24"/>
        </w:rPr>
        <w:t>5).</w:t>
      </w:r>
    </w:p>
    <w:p w:rsidR="00000000" w:rsidRPr="006A67DD" w:rsidRDefault="00812EE3" w:rsidP="006A67DD">
      <w:pPr>
        <w:pStyle w:val="NormalWeb"/>
        <w:jc w:val="left"/>
        <w:divId w:val="957180244"/>
        <w:rPr>
          <w:rFonts w:eastAsiaTheme="minorEastAsia"/>
          <w:sz w:val="24"/>
        </w:rPr>
      </w:pPr>
      <w:r w:rsidRPr="006A67DD">
        <w:rPr>
          <w:sz w:val="24"/>
        </w:rPr>
        <w:t>        </w:t>
      </w:r>
      <w:proofErr w:type="spellStart"/>
      <w:r w:rsidRPr="006A67DD">
        <w:rPr>
          <w:sz w:val="24"/>
        </w:rPr>
        <w:t>Midfirst</w:t>
      </w:r>
      <w:proofErr w:type="spellEnd"/>
      <w:r w:rsidRPr="006A67DD">
        <w:rPr>
          <w:sz w:val="24"/>
        </w:rPr>
        <w:t xml:space="preserve"> filed its Response on October 16, 2013. ECF No. 60. </w:t>
      </w:r>
      <w:proofErr w:type="spellStart"/>
      <w:r w:rsidRPr="006A67DD">
        <w:rPr>
          <w:sz w:val="24"/>
        </w:rPr>
        <w:t>Midfirst</w:t>
      </w:r>
      <w:proofErr w:type="spellEnd"/>
      <w:r w:rsidRPr="006A67DD">
        <w:rPr>
          <w:sz w:val="24"/>
        </w:rPr>
        <w:t xml:space="preserve"> asserted that pursuant to Ms. </w:t>
      </w:r>
      <w:proofErr w:type="spellStart"/>
      <w:r w:rsidRPr="006A67DD">
        <w:rPr>
          <w:sz w:val="24"/>
        </w:rPr>
        <w:t>Roife's</w:t>
      </w:r>
      <w:proofErr w:type="spellEnd"/>
      <w:r w:rsidRPr="006A67DD">
        <w:rPr>
          <w:sz w:val="24"/>
        </w:rPr>
        <w:t xml:space="preserve"> confirmed plan, </w:t>
      </w:r>
      <w:proofErr w:type="spellStart"/>
      <w:r w:rsidRPr="006A67DD">
        <w:rPr>
          <w:sz w:val="24"/>
        </w:rPr>
        <w:t>Midfirst</w:t>
      </w:r>
      <w:proofErr w:type="spellEnd"/>
      <w:r w:rsidRPr="006A67DD">
        <w:rPr>
          <w:sz w:val="24"/>
        </w:rPr>
        <w:t xml:space="preserve"> was to be paid in accordance with the terms of the parties' pre-pet</w:t>
      </w:r>
      <w:r w:rsidRPr="006A67DD">
        <w:rPr>
          <w:sz w:val="24"/>
        </w:rPr>
        <w:t xml:space="preserve">ition contract, making Rule 3002.1 inapplicable. ECF No. 60 at 1. Moreover, </w:t>
      </w:r>
      <w:proofErr w:type="spellStart"/>
      <w:r w:rsidRPr="006A67DD">
        <w:rPr>
          <w:sz w:val="24"/>
        </w:rPr>
        <w:t>Midfirst</w:t>
      </w:r>
      <w:proofErr w:type="spellEnd"/>
      <w:r w:rsidRPr="006A67DD">
        <w:rPr>
          <w:sz w:val="24"/>
        </w:rPr>
        <w:t xml:space="preserve"> argued that in submitting its Fee Notice, it did, in fact, comply with Rule 3002.1. ECF No. 60 at 2. </w:t>
      </w:r>
      <w:proofErr w:type="spellStart"/>
      <w:r w:rsidRPr="006A67DD">
        <w:rPr>
          <w:sz w:val="24"/>
        </w:rPr>
        <w:t>Midfirst</w:t>
      </w:r>
      <w:proofErr w:type="spellEnd"/>
      <w:r w:rsidRPr="006A67DD">
        <w:rPr>
          <w:sz w:val="24"/>
        </w:rPr>
        <w:t xml:space="preserve"> alleged that it utilized Official Form B 10 as required by Fe</w:t>
      </w:r>
      <w:r w:rsidRPr="006A67DD">
        <w:rPr>
          <w:sz w:val="24"/>
        </w:rPr>
        <w:t xml:space="preserve">d. R. </w:t>
      </w:r>
      <w:proofErr w:type="spellStart"/>
      <w:r w:rsidRPr="006A67DD">
        <w:rPr>
          <w:sz w:val="24"/>
        </w:rPr>
        <w:t>Bankr</w:t>
      </w:r>
      <w:proofErr w:type="spellEnd"/>
      <w:r w:rsidRPr="006A67DD">
        <w:rPr>
          <w:sz w:val="24"/>
        </w:rPr>
        <w:t xml:space="preserve">. P. 3002.1(d), and therefore there can be no allegation that it failed to properly itemize charges. </w:t>
      </w:r>
      <w:proofErr w:type="spellStart"/>
      <w:r w:rsidRPr="006A67DD">
        <w:rPr>
          <w:sz w:val="24"/>
        </w:rPr>
        <w:t>Midfirst</w:t>
      </w:r>
      <w:proofErr w:type="spellEnd"/>
      <w:r w:rsidRPr="006A67DD">
        <w:rPr>
          <w:sz w:val="24"/>
        </w:rPr>
        <w:t xml:space="preserve"> also alleged that Rule 3002.1 does not require that copies of bills, statements or fee slips </w:t>
      </w:r>
      <w:r w:rsidRPr="006A67DD">
        <w:rPr>
          <w:sz w:val="24"/>
        </w:rPr>
        <w:lastRenderedPageBreak/>
        <w:t xml:space="preserve">be attached to the Fee Notice. </w:t>
      </w:r>
      <w:proofErr w:type="spellStart"/>
      <w:r w:rsidRPr="006A67DD">
        <w:rPr>
          <w:sz w:val="24"/>
        </w:rPr>
        <w:t>Midfirst</w:t>
      </w:r>
      <w:proofErr w:type="spellEnd"/>
      <w:r w:rsidRPr="006A67DD">
        <w:rPr>
          <w:sz w:val="24"/>
        </w:rPr>
        <w:t xml:space="preserve"> ad</w:t>
      </w:r>
      <w:r w:rsidRPr="006A67DD">
        <w:rPr>
          <w:sz w:val="24"/>
        </w:rPr>
        <w:t>mitted that $50.00 of the legal fees listed in the Fee Notice was charged for preparation of the Fee Notice.</w:t>
      </w:r>
      <w:bookmarkStart w:id="2" w:name="fn2"/>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HYPERLINK "" \l "fr2"</w:instrText>
      </w:r>
      <w:r w:rsidRPr="006A67DD">
        <w:rPr>
          <w:sz w:val="24"/>
          <w:vertAlign w:val="superscript"/>
        </w:rPr>
        <w:instrText xml:space="preserve"> </w:instrText>
      </w:r>
      <w:r w:rsidRPr="006A67DD">
        <w:rPr>
          <w:sz w:val="24"/>
          <w:vertAlign w:val="superscript"/>
        </w:rPr>
        <w:fldChar w:fldCharType="separate"/>
      </w:r>
      <w:r w:rsidRPr="006A67DD">
        <w:rPr>
          <w:rStyle w:val="Hyperlink"/>
          <w:sz w:val="24"/>
          <w:vertAlign w:val="superscript"/>
        </w:rPr>
        <w:t>2</w:t>
      </w:r>
      <w:r w:rsidRPr="006A67DD">
        <w:rPr>
          <w:sz w:val="24"/>
          <w:vertAlign w:val="superscript"/>
        </w:rPr>
        <w:fldChar w:fldCharType="end"/>
      </w:r>
      <w:bookmarkEnd w:id="2"/>
    </w:p>
    <w:p w:rsidR="00000000" w:rsidRPr="006A67DD" w:rsidRDefault="00812EE3" w:rsidP="006A67DD">
      <w:pPr>
        <w:pStyle w:val="NormalWeb"/>
        <w:jc w:val="left"/>
        <w:divId w:val="957180244"/>
        <w:rPr>
          <w:sz w:val="24"/>
        </w:rPr>
      </w:pPr>
      <w:r w:rsidRPr="006A67DD">
        <w:rPr>
          <w:sz w:val="24"/>
        </w:rPr>
        <w:t xml:space="preserve">        A hearing was held on October 31, 2013. Ms. </w:t>
      </w:r>
      <w:proofErr w:type="spellStart"/>
      <w:r w:rsidRPr="006A67DD">
        <w:rPr>
          <w:sz w:val="24"/>
        </w:rPr>
        <w:t>Roife's</w:t>
      </w:r>
      <w:proofErr w:type="spellEnd"/>
      <w:r w:rsidRPr="006A67DD">
        <w:rPr>
          <w:sz w:val="24"/>
        </w:rPr>
        <w:t xml:space="preserve"> Exhibits 1 through 5 were admitted. </w:t>
      </w:r>
      <w:proofErr w:type="spellStart"/>
      <w:r w:rsidRPr="006A67DD">
        <w:rPr>
          <w:sz w:val="24"/>
        </w:rPr>
        <w:t>Midfirst's</w:t>
      </w:r>
      <w:proofErr w:type="spellEnd"/>
      <w:r w:rsidRPr="006A67DD">
        <w:rPr>
          <w:sz w:val="24"/>
        </w:rPr>
        <w:t xml:space="preserve"> Exhibits 1 th</w:t>
      </w:r>
      <w:r w:rsidRPr="006A67DD">
        <w:rPr>
          <w:sz w:val="24"/>
        </w:rPr>
        <w:t xml:space="preserve">rough 4 were admitted. At the hearing, </w:t>
      </w:r>
      <w:proofErr w:type="spellStart"/>
      <w:r w:rsidRPr="006A67DD">
        <w:rPr>
          <w:sz w:val="24"/>
        </w:rPr>
        <w:t>Midfirst</w:t>
      </w:r>
      <w:proofErr w:type="spellEnd"/>
      <w:r w:rsidRPr="006A67DD">
        <w:rPr>
          <w:sz w:val="24"/>
        </w:rPr>
        <w:t xml:space="preserve"> argued that its counsel should be entitled to fees for the preparation of the Fee Notice. </w:t>
      </w:r>
      <w:proofErr w:type="spellStart"/>
      <w:r w:rsidRPr="006A67DD">
        <w:rPr>
          <w:sz w:val="24"/>
        </w:rPr>
        <w:t>Midfirst</w:t>
      </w:r>
      <w:proofErr w:type="spellEnd"/>
      <w:r w:rsidRPr="006A67DD">
        <w:rPr>
          <w:sz w:val="24"/>
        </w:rPr>
        <w:t xml:space="preserve"> argued that unlike filing an annual escrow statement, which is an administrative function ordinarily carried </w:t>
      </w:r>
      <w:r w:rsidRPr="006A67DD">
        <w:rPr>
          <w:sz w:val="24"/>
        </w:rPr>
        <w:t xml:space="preserve">out by the lending community, filing a Fee Notice pursuant to Rule 3002.1 is a unique process initiated by the Bankruptcy Code. </w:t>
      </w:r>
      <w:proofErr w:type="spellStart"/>
      <w:r w:rsidRPr="006A67DD">
        <w:rPr>
          <w:sz w:val="24"/>
        </w:rPr>
        <w:t>Midfirst</w:t>
      </w:r>
      <w:proofErr w:type="spellEnd"/>
      <w:r w:rsidRPr="006A67DD">
        <w:rPr>
          <w:sz w:val="24"/>
        </w:rPr>
        <w:t xml:space="preserve"> further argued that under Rule 3002.1(</w:t>
      </w:r>
      <w:proofErr w:type="spellStart"/>
      <w:r w:rsidRPr="006A67DD">
        <w:rPr>
          <w:sz w:val="24"/>
        </w:rPr>
        <w:t>i</w:t>
      </w:r>
      <w:proofErr w:type="spellEnd"/>
      <w:r w:rsidRPr="006A67DD">
        <w:rPr>
          <w:sz w:val="24"/>
        </w:rPr>
        <w:t>), a party may be sanctioned for failure to comply with Rule 3002.1, and that fi</w:t>
      </w:r>
      <w:r w:rsidRPr="006A67DD">
        <w:rPr>
          <w:sz w:val="24"/>
        </w:rPr>
        <w:t>ling a Fee Notice is not merely</w:t>
      </w:r>
    </w:p>
    <w:p w:rsidR="00000000" w:rsidRPr="006A67DD" w:rsidRDefault="00812EE3" w:rsidP="006A67DD">
      <w:pPr>
        <w:pStyle w:val="NormalWeb"/>
        <w:jc w:val="left"/>
        <w:divId w:val="957180244"/>
        <w:rPr>
          <w:sz w:val="24"/>
        </w:rPr>
      </w:pPr>
      <w:r w:rsidRPr="006A67DD">
        <w:rPr>
          <w:sz w:val="24"/>
        </w:rPr>
        <w:t>Page 3</w:t>
      </w:r>
    </w:p>
    <w:p w:rsidR="00000000" w:rsidRPr="006A67DD" w:rsidRDefault="00812EE3" w:rsidP="006A67DD">
      <w:pPr>
        <w:pStyle w:val="NormalWeb"/>
        <w:jc w:val="left"/>
        <w:divId w:val="957180244"/>
        <w:rPr>
          <w:sz w:val="24"/>
        </w:rPr>
      </w:pPr>
      <w:proofErr w:type="gramStart"/>
      <w:r w:rsidRPr="006A67DD">
        <w:rPr>
          <w:sz w:val="24"/>
        </w:rPr>
        <w:t>an</w:t>
      </w:r>
      <w:proofErr w:type="gramEnd"/>
      <w:r w:rsidRPr="006A67DD">
        <w:rPr>
          <w:sz w:val="24"/>
        </w:rPr>
        <w:t xml:space="preserve"> administrative function when sanctions are available for failure to comply with the Rule. </w:t>
      </w:r>
      <w:proofErr w:type="spellStart"/>
      <w:r w:rsidRPr="006A67DD">
        <w:rPr>
          <w:sz w:val="24"/>
        </w:rPr>
        <w:t>Midfirst</w:t>
      </w:r>
      <w:proofErr w:type="spellEnd"/>
      <w:r w:rsidRPr="006A67DD">
        <w:rPr>
          <w:sz w:val="24"/>
        </w:rPr>
        <w:t xml:space="preserve"> asserted that it was not required to provide specific documentation when filing a Fee Notice. Rather, </w:t>
      </w:r>
      <w:proofErr w:type="spellStart"/>
      <w:r w:rsidRPr="006A67DD">
        <w:rPr>
          <w:sz w:val="24"/>
        </w:rPr>
        <w:t>Midfirst</w:t>
      </w:r>
      <w:proofErr w:type="spellEnd"/>
      <w:r w:rsidRPr="006A67DD">
        <w:rPr>
          <w:sz w:val="24"/>
        </w:rPr>
        <w:t xml:space="preserve"> alle</w:t>
      </w:r>
      <w:r w:rsidRPr="006A67DD">
        <w:rPr>
          <w:sz w:val="24"/>
        </w:rPr>
        <w:t xml:space="preserve">ged that it was entitled to file the Fee Notice and then provide documentation if the Fee Notice was disputed. Ms. </w:t>
      </w:r>
      <w:proofErr w:type="spellStart"/>
      <w:r w:rsidRPr="006A67DD">
        <w:rPr>
          <w:sz w:val="24"/>
        </w:rPr>
        <w:t>Roife</w:t>
      </w:r>
      <w:proofErr w:type="spellEnd"/>
      <w:r w:rsidRPr="006A67DD">
        <w:rPr>
          <w:sz w:val="24"/>
        </w:rPr>
        <w:t xml:space="preserve"> did not challenge the legitimacy of the late charges.</w:t>
      </w:r>
    </w:p>
    <w:p w:rsidR="00000000" w:rsidRPr="006A67DD" w:rsidRDefault="00812EE3" w:rsidP="006A67DD">
      <w:pPr>
        <w:jc w:val="left"/>
        <w:divId w:val="957180244"/>
        <w:rPr>
          <w:sz w:val="24"/>
          <w:szCs w:val="24"/>
        </w:rPr>
      </w:pPr>
      <w:r w:rsidRPr="006A67DD">
        <w:rPr>
          <w:b/>
          <w:bCs/>
          <w:sz w:val="24"/>
          <w:szCs w:val="24"/>
        </w:rPr>
        <w:t>Analysis</w:t>
      </w:r>
    </w:p>
    <w:p w:rsidR="00000000" w:rsidRPr="006A67DD" w:rsidRDefault="00812EE3" w:rsidP="006A67DD">
      <w:pPr>
        <w:pStyle w:val="NormalWeb"/>
        <w:jc w:val="left"/>
        <w:divId w:val="957180244"/>
        <w:rPr>
          <w:rFonts w:eastAsiaTheme="minorEastAsia"/>
          <w:sz w:val="24"/>
        </w:rPr>
      </w:pPr>
      <w:r w:rsidRPr="006A67DD">
        <w:rPr>
          <w:sz w:val="24"/>
        </w:rPr>
        <w:t>        Bankruptcy Rule 3002.1 provides in pertinent part that:</w:t>
      </w:r>
    </w:p>
    <w:p w:rsidR="00000000" w:rsidRPr="006A67DD" w:rsidRDefault="00812EE3" w:rsidP="006A67DD">
      <w:pPr>
        <w:jc w:val="left"/>
        <w:divId w:val="881093274"/>
        <w:rPr>
          <w:sz w:val="24"/>
          <w:szCs w:val="24"/>
        </w:rPr>
      </w:pPr>
      <w:r w:rsidRPr="006A67DD">
        <w:rPr>
          <w:sz w:val="24"/>
          <w:szCs w:val="24"/>
        </w:rPr>
        <w:t>"(</w:t>
      </w:r>
      <w:proofErr w:type="gramStart"/>
      <w:r w:rsidRPr="006A67DD">
        <w:rPr>
          <w:sz w:val="24"/>
          <w:szCs w:val="24"/>
        </w:rPr>
        <w:t>a</w:t>
      </w:r>
      <w:proofErr w:type="gramEnd"/>
      <w:r w:rsidRPr="006A67DD">
        <w:rPr>
          <w:sz w:val="24"/>
          <w:szCs w:val="24"/>
        </w:rPr>
        <w:t xml:space="preserve">) In </w:t>
      </w:r>
      <w:r w:rsidRPr="006A67DD">
        <w:rPr>
          <w:sz w:val="24"/>
          <w:szCs w:val="24"/>
        </w:rPr>
        <w:t>General. This rule applies in a chapter 13 case to claims that are (1) secured by a security interest in the debtor's principal residence, and (2) provided for under § 1322(b)(5) of the Code in the debtor's plan.</w:t>
      </w:r>
      <w:r w:rsidRPr="006A67DD">
        <w:rPr>
          <w:sz w:val="24"/>
          <w:szCs w:val="24"/>
        </w:rPr>
        <w:br/>
        <w:t>(b) Notice of Payment Changes. The holder o</w:t>
      </w:r>
      <w:r w:rsidRPr="006A67DD">
        <w:rPr>
          <w:sz w:val="24"/>
          <w:szCs w:val="24"/>
        </w:rPr>
        <w:t>f the claim shall file and serve on the debtor, debtor's counsel, and the trustee a notice of any change in payment amount...no later than 21 days before a new payment amount is due.</w:t>
      </w:r>
      <w:r w:rsidRPr="006A67DD">
        <w:rPr>
          <w:sz w:val="24"/>
          <w:szCs w:val="24"/>
        </w:rPr>
        <w:br/>
        <w:t xml:space="preserve">(c) Notice of Fees, Expenses, and Charges. The holder of the claim shall </w:t>
      </w:r>
      <w:r w:rsidRPr="006A67DD">
        <w:rPr>
          <w:sz w:val="24"/>
          <w:szCs w:val="24"/>
        </w:rPr>
        <w:t>file and serve on the debtor, debtor's counsel, and the trustee a notice itemizing all fees, expenses, or charges (1) that were incurred in connection with the claim after the bankruptcy case was filed, and (2) that the holder asserts are recoverable again</w:t>
      </w:r>
      <w:r w:rsidRPr="006A67DD">
        <w:rPr>
          <w:sz w:val="24"/>
          <w:szCs w:val="24"/>
        </w:rPr>
        <w:t>st the debtor or against the debtor's principal residence...</w:t>
      </w:r>
      <w:r w:rsidRPr="006A67DD">
        <w:rPr>
          <w:sz w:val="24"/>
          <w:szCs w:val="24"/>
        </w:rPr>
        <w:br/>
        <w:t>(d) Form and Content. A notice filed and served under subdivision (b) or (c) of this rule shall be prepared as prescribed by the appropriate Official Form, and filed as a supplement to the holder</w:t>
      </w:r>
      <w:r w:rsidRPr="006A67DD">
        <w:rPr>
          <w:sz w:val="24"/>
          <w:szCs w:val="24"/>
        </w:rPr>
        <w:t>s proof of claim.</w:t>
      </w:r>
      <w:r w:rsidRPr="006A67DD">
        <w:rPr>
          <w:sz w:val="24"/>
          <w:szCs w:val="24"/>
        </w:rPr>
        <w:br/>
        <w:t>(</w:t>
      </w:r>
      <w:proofErr w:type="spellStart"/>
      <w:r w:rsidRPr="006A67DD">
        <w:rPr>
          <w:sz w:val="24"/>
          <w:szCs w:val="24"/>
        </w:rPr>
        <w:t>i</w:t>
      </w:r>
      <w:proofErr w:type="spellEnd"/>
      <w:r w:rsidRPr="006A67DD">
        <w:rPr>
          <w:sz w:val="24"/>
          <w:szCs w:val="24"/>
        </w:rPr>
        <w:t>) Failure to Notify. If the holder of a claim fails to provide any information as required by subdivision (b), (c), or (g) of this rule, the court shall, after notice and hearing...award other appropriate relief, including reasonable ex</w:t>
      </w:r>
      <w:r w:rsidRPr="006A67DD">
        <w:rPr>
          <w:sz w:val="24"/>
          <w:szCs w:val="24"/>
        </w:rPr>
        <w:t>penses and attorney's fees caused by the failure."</w:t>
      </w:r>
    </w:p>
    <w:p w:rsidR="00000000" w:rsidRPr="006A67DD" w:rsidRDefault="00812EE3" w:rsidP="006A67DD">
      <w:pPr>
        <w:pStyle w:val="NormalWeb"/>
        <w:jc w:val="left"/>
        <w:divId w:val="957180244"/>
        <w:rPr>
          <w:rFonts w:eastAsiaTheme="minorEastAsia"/>
          <w:sz w:val="24"/>
        </w:rPr>
      </w:pPr>
      <w:r w:rsidRPr="006A67DD">
        <w:rPr>
          <w:b/>
          <w:bCs/>
          <w:sz w:val="24"/>
        </w:rPr>
        <w:t>Applicability of Rule 3002.1</w:t>
      </w:r>
    </w:p>
    <w:p w:rsidR="00000000" w:rsidRPr="006A67DD" w:rsidRDefault="00812EE3" w:rsidP="006A67DD">
      <w:pPr>
        <w:pStyle w:val="NormalWeb"/>
        <w:jc w:val="left"/>
        <w:divId w:val="957180244"/>
        <w:rPr>
          <w:sz w:val="24"/>
        </w:rPr>
      </w:pPr>
      <w:r w:rsidRPr="006A67DD">
        <w:rPr>
          <w:sz w:val="24"/>
        </w:rPr>
        <w:t>Page 4</w:t>
      </w:r>
    </w:p>
    <w:p w:rsidR="00000000" w:rsidRPr="006A67DD" w:rsidRDefault="00812EE3" w:rsidP="006A67DD">
      <w:pPr>
        <w:pStyle w:val="NormalWeb"/>
        <w:jc w:val="left"/>
        <w:divId w:val="957180244"/>
        <w:rPr>
          <w:sz w:val="24"/>
        </w:rPr>
      </w:pPr>
      <w:r w:rsidRPr="006A67DD">
        <w:rPr>
          <w:sz w:val="24"/>
        </w:rPr>
        <w:lastRenderedPageBreak/>
        <w:t xml:space="preserve">        As a threshold matter, the Court addresses </w:t>
      </w:r>
      <w:proofErr w:type="spellStart"/>
      <w:r w:rsidRPr="006A67DD">
        <w:rPr>
          <w:sz w:val="24"/>
        </w:rPr>
        <w:t>Midfirst's</w:t>
      </w:r>
      <w:proofErr w:type="spellEnd"/>
      <w:r w:rsidRPr="006A67DD">
        <w:rPr>
          <w:sz w:val="24"/>
        </w:rPr>
        <w:t xml:space="preserve"> contention that it is not subject to Rule 3002.1 because </w:t>
      </w:r>
      <w:proofErr w:type="spellStart"/>
      <w:r w:rsidRPr="006A67DD">
        <w:rPr>
          <w:sz w:val="24"/>
        </w:rPr>
        <w:t>Midfirst</w:t>
      </w:r>
      <w:proofErr w:type="spellEnd"/>
      <w:r w:rsidRPr="006A67DD">
        <w:rPr>
          <w:sz w:val="24"/>
        </w:rPr>
        <w:t xml:space="preserve"> was to be paid in accordance with the te</w:t>
      </w:r>
      <w:r w:rsidRPr="006A67DD">
        <w:rPr>
          <w:sz w:val="24"/>
        </w:rPr>
        <w:t>rms of the parties' pre-petition contract. "Payments made outside of the plan" is the colloquial term used for describing payments made directly by a debtor. "Payments made under a plan" is the colloquial term used to describe payments made through the cha</w:t>
      </w:r>
      <w:r w:rsidRPr="006A67DD">
        <w:rPr>
          <w:sz w:val="24"/>
        </w:rPr>
        <w:t xml:space="preserve">pter 13 trustee. Courts are split on whether 11 U.S.C. § 1322(b)(5) and Rule 3002.1 apply when a creditor receives payments directly from a debtor, as opposed to receiving payments through the chapter 13 trustee. </w:t>
      </w:r>
      <w:r w:rsidRPr="006A67DD">
        <w:rPr>
          <w:i/>
          <w:iCs/>
          <w:sz w:val="24"/>
        </w:rPr>
        <w:t xml:space="preserve">See e.g. Cloud v. CitiFinancial Inc. </w:t>
      </w:r>
      <w:r w:rsidRPr="006A67DD">
        <w:rPr>
          <w:sz w:val="24"/>
        </w:rPr>
        <w:t>(</w:t>
      </w:r>
      <w:r w:rsidRPr="006A67DD">
        <w:rPr>
          <w:i/>
          <w:iCs/>
          <w:sz w:val="24"/>
        </w:rPr>
        <w:t xml:space="preserve">In </w:t>
      </w:r>
      <w:proofErr w:type="spellStart"/>
      <w:r w:rsidRPr="006A67DD">
        <w:rPr>
          <w:i/>
          <w:iCs/>
          <w:sz w:val="24"/>
        </w:rPr>
        <w:t>re</w:t>
      </w:r>
      <w:proofErr w:type="spellEnd"/>
      <w:r w:rsidRPr="006A67DD">
        <w:rPr>
          <w:i/>
          <w:iCs/>
          <w:sz w:val="24"/>
        </w:rPr>
        <w:t xml:space="preserve"> Cloud), </w:t>
      </w:r>
      <w:r w:rsidRPr="006A67DD">
        <w:rPr>
          <w:sz w:val="24"/>
        </w:rPr>
        <w:t>2013 WL 441543 at *2 (</w:t>
      </w:r>
      <w:proofErr w:type="spellStart"/>
      <w:r w:rsidRPr="006A67DD">
        <w:rPr>
          <w:sz w:val="24"/>
        </w:rPr>
        <w:t>Bankr</w:t>
      </w:r>
      <w:proofErr w:type="spellEnd"/>
      <w:r w:rsidRPr="006A67DD">
        <w:rPr>
          <w:sz w:val="24"/>
        </w:rPr>
        <w:t xml:space="preserve">. S.D. Ga. Jan. 31, 2013) (term "outside the plan" is misnomer as all payments made following confirmation of plan are paid pursuant to some provision of the plan) </w:t>
      </w:r>
      <w:r w:rsidRPr="006A67DD">
        <w:rPr>
          <w:i/>
          <w:iCs/>
          <w:sz w:val="24"/>
        </w:rPr>
        <w:t xml:space="preserve">but see In re Wallet, </w:t>
      </w:r>
      <w:r w:rsidRPr="006A67DD">
        <w:rPr>
          <w:sz w:val="24"/>
        </w:rPr>
        <w:t>2012 WL 4062657 (</w:t>
      </w:r>
      <w:proofErr w:type="spellStart"/>
      <w:r w:rsidRPr="006A67DD">
        <w:rPr>
          <w:sz w:val="24"/>
        </w:rPr>
        <w:t>Bankr</w:t>
      </w:r>
      <w:proofErr w:type="spellEnd"/>
      <w:r w:rsidRPr="006A67DD">
        <w:rPr>
          <w:sz w:val="24"/>
        </w:rPr>
        <w:t>. D. Vt. Sep</w:t>
      </w:r>
      <w:r w:rsidRPr="006A67DD">
        <w:rPr>
          <w:sz w:val="24"/>
        </w:rPr>
        <w:t>. 14, 2012) (claim is not provided for under plan when payments made directly to lender).</w:t>
      </w:r>
    </w:p>
    <w:p w:rsidR="00000000" w:rsidRPr="006A67DD" w:rsidRDefault="00812EE3" w:rsidP="006A67DD">
      <w:pPr>
        <w:pStyle w:val="NormalWeb"/>
        <w:jc w:val="left"/>
        <w:divId w:val="957180244"/>
        <w:rPr>
          <w:sz w:val="24"/>
        </w:rPr>
      </w:pPr>
      <w:r w:rsidRPr="006A67DD">
        <w:rPr>
          <w:sz w:val="24"/>
        </w:rPr>
        <w:t xml:space="preserve">        The Fifth Circuit provided clarity on the meaning of the term "provided for by the plan" in </w:t>
      </w:r>
      <w:r w:rsidRPr="006A67DD">
        <w:rPr>
          <w:i/>
          <w:iCs/>
          <w:sz w:val="24"/>
        </w:rPr>
        <w:t xml:space="preserve">In re Foster. </w:t>
      </w:r>
      <w:r w:rsidRPr="006A67DD">
        <w:rPr>
          <w:sz w:val="24"/>
        </w:rPr>
        <w:t>The Fifth Circuit held that a chapter 13 plan may, b</w:t>
      </w:r>
      <w:r w:rsidRPr="006A67DD">
        <w:rPr>
          <w:sz w:val="24"/>
        </w:rPr>
        <w:t xml:space="preserve">ut need not, modify allowed secured claims. </w:t>
      </w:r>
      <w:r w:rsidRPr="006A67DD">
        <w:rPr>
          <w:i/>
          <w:iCs/>
          <w:sz w:val="24"/>
        </w:rPr>
        <w:t xml:space="preserve">Foster v. </w:t>
      </w:r>
      <w:proofErr w:type="spellStart"/>
      <w:r w:rsidRPr="006A67DD">
        <w:rPr>
          <w:i/>
          <w:iCs/>
          <w:sz w:val="24"/>
        </w:rPr>
        <w:t>Heitkamp</w:t>
      </w:r>
      <w:proofErr w:type="spellEnd"/>
      <w:r w:rsidRPr="006A67DD">
        <w:rPr>
          <w:i/>
          <w:iCs/>
          <w:sz w:val="24"/>
        </w:rPr>
        <w:t xml:space="preserve"> (In re Foster), </w:t>
      </w:r>
      <w:proofErr w:type="gramStart"/>
      <w:r w:rsidRPr="006A67DD">
        <w:rPr>
          <w:sz w:val="24"/>
        </w:rPr>
        <w:t>670 F.2d 478, 488-489 (5th Cir. 1982)</w:t>
      </w:r>
      <w:proofErr w:type="gramEnd"/>
      <w:r w:rsidRPr="006A67DD">
        <w:rPr>
          <w:sz w:val="24"/>
        </w:rPr>
        <w:t xml:space="preserve">. The debtor therefore has the discretion to make a provision in a chapter 13 plan for an un-modified secured claim. </w:t>
      </w:r>
      <w:r w:rsidRPr="006A67DD">
        <w:rPr>
          <w:i/>
          <w:iCs/>
          <w:sz w:val="24"/>
        </w:rPr>
        <w:t xml:space="preserve">Id. </w:t>
      </w:r>
      <w:r w:rsidRPr="006A67DD">
        <w:rPr>
          <w:sz w:val="24"/>
        </w:rPr>
        <w:t>If the plan does no</w:t>
      </w:r>
      <w:r w:rsidRPr="006A67DD">
        <w:rPr>
          <w:sz w:val="24"/>
        </w:rPr>
        <w:t xml:space="preserve">t make a provision for the un-modified secured claim, the plan does not provide for the claim. </w:t>
      </w:r>
      <w:r w:rsidRPr="006A67DD">
        <w:rPr>
          <w:i/>
          <w:iCs/>
          <w:sz w:val="24"/>
        </w:rPr>
        <w:t xml:space="preserve">Id. </w:t>
      </w:r>
      <w:r w:rsidRPr="006A67DD">
        <w:rPr>
          <w:sz w:val="24"/>
        </w:rPr>
        <w:t>It follows that if a plan makes a provision for an unmodified secured claim, the plan provides for the claim.</w:t>
      </w:r>
    </w:p>
    <w:p w:rsidR="00000000" w:rsidRPr="006A67DD" w:rsidRDefault="00812EE3" w:rsidP="006A67DD">
      <w:pPr>
        <w:pStyle w:val="NormalWeb"/>
        <w:jc w:val="left"/>
        <w:divId w:val="957180244"/>
        <w:rPr>
          <w:sz w:val="24"/>
        </w:rPr>
      </w:pPr>
      <w:r w:rsidRPr="006A67DD">
        <w:rPr>
          <w:sz w:val="24"/>
        </w:rPr>
        <w:t xml:space="preserve">        Ms. </w:t>
      </w:r>
      <w:proofErr w:type="spellStart"/>
      <w:r w:rsidRPr="006A67DD">
        <w:rPr>
          <w:sz w:val="24"/>
        </w:rPr>
        <w:t>Roife's</w:t>
      </w:r>
      <w:proofErr w:type="spellEnd"/>
      <w:r w:rsidRPr="006A67DD">
        <w:rPr>
          <w:sz w:val="24"/>
        </w:rPr>
        <w:t xml:space="preserve"> plan provides that </w:t>
      </w:r>
      <w:proofErr w:type="spellStart"/>
      <w:r w:rsidRPr="006A67DD">
        <w:rPr>
          <w:sz w:val="24"/>
        </w:rPr>
        <w:t>Midfirst</w:t>
      </w:r>
      <w:proofErr w:type="spellEnd"/>
      <w:r w:rsidRPr="006A67DD">
        <w:rPr>
          <w:sz w:val="24"/>
        </w:rPr>
        <w:t xml:space="preserve"> will be paid in accordance with the parties' pre-petition contract. Although the provision leaves the terms of the pre-petition contract unmodified, it nonetheless requires that Ms. </w:t>
      </w:r>
      <w:proofErr w:type="spellStart"/>
      <w:r w:rsidRPr="006A67DD">
        <w:rPr>
          <w:sz w:val="24"/>
        </w:rPr>
        <w:t>Roife</w:t>
      </w:r>
      <w:proofErr w:type="spellEnd"/>
      <w:r w:rsidRPr="006A67DD">
        <w:rPr>
          <w:sz w:val="24"/>
        </w:rPr>
        <w:t xml:space="preserve"> make payments to </w:t>
      </w:r>
      <w:proofErr w:type="spellStart"/>
      <w:r w:rsidRPr="006A67DD">
        <w:rPr>
          <w:sz w:val="24"/>
        </w:rPr>
        <w:t>Midfirst</w:t>
      </w:r>
      <w:proofErr w:type="spellEnd"/>
      <w:r w:rsidRPr="006A67DD">
        <w:rPr>
          <w:sz w:val="24"/>
        </w:rPr>
        <w:t xml:space="preserve"> on its claim. As such, </w:t>
      </w:r>
      <w:proofErr w:type="spellStart"/>
      <w:r w:rsidRPr="006A67DD">
        <w:rPr>
          <w:sz w:val="24"/>
        </w:rPr>
        <w:t>Midfirst</w:t>
      </w:r>
      <w:proofErr w:type="spellEnd"/>
      <w:r w:rsidRPr="006A67DD">
        <w:rPr>
          <w:sz w:val="24"/>
        </w:rPr>
        <w:t xml:space="preserve"> is requir</w:t>
      </w:r>
      <w:r w:rsidRPr="006A67DD">
        <w:rPr>
          <w:sz w:val="24"/>
        </w:rPr>
        <w:t>ed to comply with Rule 3002.1.</w:t>
      </w:r>
    </w:p>
    <w:p w:rsidR="00000000" w:rsidRPr="006A67DD" w:rsidRDefault="00812EE3" w:rsidP="006A67DD">
      <w:pPr>
        <w:pStyle w:val="NormalWeb"/>
        <w:jc w:val="left"/>
        <w:divId w:val="957180244"/>
        <w:rPr>
          <w:sz w:val="24"/>
        </w:rPr>
      </w:pPr>
      <w:r w:rsidRPr="006A67DD">
        <w:rPr>
          <w:sz w:val="24"/>
        </w:rPr>
        <w:t>Page 5</w:t>
      </w:r>
    </w:p>
    <w:p w:rsidR="00000000" w:rsidRPr="006A67DD" w:rsidRDefault="00812EE3" w:rsidP="006A67DD">
      <w:pPr>
        <w:pStyle w:val="NormalWeb"/>
        <w:jc w:val="left"/>
        <w:divId w:val="957180244"/>
        <w:rPr>
          <w:sz w:val="24"/>
        </w:rPr>
      </w:pPr>
      <w:r w:rsidRPr="006A67DD">
        <w:rPr>
          <w:b/>
          <w:bCs/>
          <w:sz w:val="24"/>
        </w:rPr>
        <w:t>Entitlement to Legal Fees</w:t>
      </w:r>
    </w:p>
    <w:p w:rsidR="00000000" w:rsidRPr="006A67DD" w:rsidRDefault="00812EE3" w:rsidP="006A67DD">
      <w:pPr>
        <w:pStyle w:val="NormalWeb"/>
        <w:jc w:val="left"/>
        <w:divId w:val="957180244"/>
        <w:rPr>
          <w:sz w:val="24"/>
        </w:rPr>
      </w:pPr>
      <w:r w:rsidRPr="006A67DD">
        <w:rPr>
          <w:sz w:val="24"/>
        </w:rPr>
        <w:t xml:space="preserve">        In </w:t>
      </w:r>
      <w:r w:rsidRPr="006A67DD">
        <w:rPr>
          <w:i/>
          <w:iCs/>
          <w:sz w:val="24"/>
        </w:rPr>
        <w:t xml:space="preserve">In re Boyd, </w:t>
      </w:r>
      <w:r w:rsidRPr="006A67DD">
        <w:rPr>
          <w:sz w:val="24"/>
        </w:rPr>
        <w:t xml:space="preserve">the debtors objected to a $50.00 charge for preparing a Fee Notice. </w:t>
      </w:r>
      <w:proofErr w:type="gramStart"/>
      <w:r w:rsidRPr="006A67DD">
        <w:rPr>
          <w:i/>
          <w:iCs/>
          <w:sz w:val="24"/>
        </w:rPr>
        <w:t xml:space="preserve">In re Boyd, </w:t>
      </w:r>
      <w:r w:rsidRPr="006A67DD">
        <w:rPr>
          <w:sz w:val="24"/>
        </w:rPr>
        <w:t>2013 WL 1844076 at *2 (</w:t>
      </w:r>
      <w:proofErr w:type="spellStart"/>
      <w:r w:rsidRPr="006A67DD">
        <w:rPr>
          <w:sz w:val="24"/>
        </w:rPr>
        <w:t>Bankr</w:t>
      </w:r>
      <w:proofErr w:type="spellEnd"/>
      <w:r w:rsidRPr="006A67DD">
        <w:rPr>
          <w:sz w:val="24"/>
        </w:rPr>
        <w:t>.</w:t>
      </w:r>
      <w:proofErr w:type="gramEnd"/>
      <w:r w:rsidRPr="006A67DD">
        <w:rPr>
          <w:sz w:val="24"/>
        </w:rPr>
        <w:t xml:space="preserve"> S.D. Tex. May 1, 2013). The court in </w:t>
      </w:r>
      <w:r w:rsidRPr="006A67DD">
        <w:rPr>
          <w:i/>
          <w:iCs/>
          <w:sz w:val="24"/>
        </w:rPr>
        <w:t xml:space="preserve">Boyd </w:t>
      </w:r>
      <w:r w:rsidRPr="006A67DD">
        <w:rPr>
          <w:sz w:val="24"/>
        </w:rPr>
        <w:t xml:space="preserve">held that no fee </w:t>
      </w:r>
      <w:r w:rsidRPr="006A67DD">
        <w:rPr>
          <w:sz w:val="24"/>
        </w:rPr>
        <w:t xml:space="preserve">should be charged to a debtor for filing the Fee Notice because a creditor has a duty under non-bankruptcy law to inform a debtor of amounts due under a mortgage. </w:t>
      </w:r>
      <w:r w:rsidRPr="006A67DD">
        <w:rPr>
          <w:i/>
          <w:iCs/>
          <w:sz w:val="24"/>
        </w:rPr>
        <w:t xml:space="preserve">Id. </w:t>
      </w:r>
      <w:r w:rsidRPr="006A67DD">
        <w:rPr>
          <w:sz w:val="24"/>
        </w:rPr>
        <w:t xml:space="preserve">The </w:t>
      </w:r>
      <w:r w:rsidRPr="006A67DD">
        <w:rPr>
          <w:i/>
          <w:iCs/>
          <w:sz w:val="24"/>
        </w:rPr>
        <w:t xml:space="preserve">Boyd </w:t>
      </w:r>
      <w:r w:rsidRPr="006A67DD">
        <w:rPr>
          <w:sz w:val="24"/>
        </w:rPr>
        <w:t xml:space="preserve">court relied primarily on </w:t>
      </w:r>
      <w:r w:rsidRPr="006A67DD">
        <w:rPr>
          <w:i/>
          <w:iCs/>
          <w:sz w:val="24"/>
        </w:rPr>
        <w:t xml:space="preserve">In re Carr. </w:t>
      </w:r>
      <w:r w:rsidRPr="006A67DD">
        <w:rPr>
          <w:sz w:val="24"/>
        </w:rPr>
        <w:t xml:space="preserve">In </w:t>
      </w:r>
      <w:r w:rsidRPr="006A67DD">
        <w:rPr>
          <w:i/>
          <w:iCs/>
          <w:sz w:val="24"/>
        </w:rPr>
        <w:t xml:space="preserve">Carr, </w:t>
      </w:r>
      <w:r w:rsidRPr="006A67DD">
        <w:rPr>
          <w:sz w:val="24"/>
        </w:rPr>
        <w:t xml:space="preserve">the creditor filed a Notice of </w:t>
      </w:r>
      <w:proofErr w:type="spellStart"/>
      <w:r w:rsidRPr="006A67DD">
        <w:rPr>
          <w:sz w:val="24"/>
        </w:rPr>
        <w:t>Po</w:t>
      </w:r>
      <w:r w:rsidRPr="006A67DD">
        <w:rPr>
          <w:sz w:val="24"/>
        </w:rPr>
        <w:t>stpetition</w:t>
      </w:r>
      <w:proofErr w:type="spellEnd"/>
      <w:r w:rsidRPr="006A67DD">
        <w:rPr>
          <w:sz w:val="24"/>
        </w:rPr>
        <w:t xml:space="preserve"> Mortgage Fees, Expenses and Charges, and a Response to Notice of Final Cure Payment, both in response to the trustee's Notice of Final Cure Payments.</w:t>
      </w:r>
      <w:bookmarkStart w:id="3" w:name="fn3"/>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HYPERLINK "" \l "fr3"</w:instrText>
      </w:r>
      <w:r w:rsidRPr="006A67DD">
        <w:rPr>
          <w:sz w:val="24"/>
          <w:vertAlign w:val="superscript"/>
        </w:rPr>
        <w:instrText xml:space="preserve"> </w:instrText>
      </w:r>
      <w:r w:rsidRPr="006A67DD">
        <w:rPr>
          <w:sz w:val="24"/>
          <w:vertAlign w:val="superscript"/>
        </w:rPr>
        <w:fldChar w:fldCharType="separate"/>
      </w:r>
      <w:r w:rsidRPr="006A67DD">
        <w:rPr>
          <w:rStyle w:val="Hyperlink"/>
          <w:sz w:val="24"/>
          <w:vertAlign w:val="superscript"/>
        </w:rPr>
        <w:t>3</w:t>
      </w:r>
      <w:r w:rsidRPr="006A67DD">
        <w:rPr>
          <w:sz w:val="24"/>
          <w:vertAlign w:val="superscript"/>
        </w:rPr>
        <w:fldChar w:fldCharType="end"/>
      </w:r>
      <w:bookmarkEnd w:id="3"/>
      <w:r w:rsidRPr="006A67DD">
        <w:rPr>
          <w:sz w:val="24"/>
        </w:rPr>
        <w:t xml:space="preserve"> </w:t>
      </w:r>
      <w:r w:rsidRPr="006A67DD">
        <w:rPr>
          <w:i/>
          <w:iCs/>
          <w:sz w:val="24"/>
        </w:rPr>
        <w:t xml:space="preserve">In re Carr, </w:t>
      </w:r>
      <w:r w:rsidRPr="006A67DD">
        <w:rPr>
          <w:sz w:val="24"/>
        </w:rPr>
        <w:t>468 B.R. 806, 807 (</w:t>
      </w:r>
      <w:proofErr w:type="spellStart"/>
      <w:r w:rsidRPr="006A67DD">
        <w:rPr>
          <w:sz w:val="24"/>
        </w:rPr>
        <w:t>Bankr</w:t>
      </w:r>
      <w:proofErr w:type="spellEnd"/>
      <w:r w:rsidRPr="006A67DD">
        <w:rPr>
          <w:sz w:val="24"/>
        </w:rPr>
        <w:t>. E.D. Va. 2012). Both were prep</w:t>
      </w:r>
      <w:r w:rsidRPr="006A67DD">
        <w:rPr>
          <w:sz w:val="24"/>
        </w:rPr>
        <w:t xml:space="preserve">ared and filed by the creditor's counsel, and counsel asserted a fee of $150.00 for the preparation of the two documents. </w:t>
      </w:r>
      <w:r w:rsidRPr="006A67DD">
        <w:rPr>
          <w:i/>
          <w:iCs/>
          <w:sz w:val="24"/>
        </w:rPr>
        <w:t xml:space="preserve">Id. </w:t>
      </w:r>
      <w:r w:rsidRPr="006A67DD">
        <w:rPr>
          <w:sz w:val="24"/>
        </w:rPr>
        <w:t xml:space="preserve">The </w:t>
      </w:r>
      <w:r w:rsidRPr="006A67DD">
        <w:rPr>
          <w:i/>
          <w:iCs/>
          <w:sz w:val="24"/>
        </w:rPr>
        <w:t xml:space="preserve">Carr </w:t>
      </w:r>
      <w:r w:rsidRPr="006A67DD">
        <w:rPr>
          <w:sz w:val="24"/>
        </w:rPr>
        <w:t xml:space="preserve">Court held that a Fee Notice is not a pleading, but a supplement to the creditor's proof of claim. </w:t>
      </w:r>
      <w:proofErr w:type="gramStart"/>
      <w:r w:rsidRPr="006A67DD">
        <w:rPr>
          <w:i/>
          <w:iCs/>
          <w:sz w:val="24"/>
        </w:rPr>
        <w:t xml:space="preserve">Id. </w:t>
      </w:r>
      <w:r w:rsidRPr="006A67DD">
        <w:rPr>
          <w:sz w:val="24"/>
        </w:rPr>
        <w:t>at 808.</w:t>
      </w:r>
      <w:proofErr w:type="gramEnd"/>
      <w:r w:rsidRPr="006A67DD">
        <w:rPr>
          <w:sz w:val="24"/>
        </w:rPr>
        <w:t xml:space="preserve"> It can eas</w:t>
      </w:r>
      <w:r w:rsidRPr="006A67DD">
        <w:rPr>
          <w:sz w:val="24"/>
        </w:rPr>
        <w:t xml:space="preserve">ily be derived from the creditor's records with no significant burden on the creditor. </w:t>
      </w:r>
      <w:r w:rsidRPr="006A67DD">
        <w:rPr>
          <w:i/>
          <w:iCs/>
          <w:sz w:val="24"/>
        </w:rPr>
        <w:t xml:space="preserve">Id. </w:t>
      </w:r>
      <w:r w:rsidRPr="006A67DD">
        <w:rPr>
          <w:sz w:val="24"/>
        </w:rPr>
        <w:t xml:space="preserve">It is a business function, akin to issuing a receipt for payments received under a chapter 13 plan. </w:t>
      </w:r>
      <w:r w:rsidRPr="006A67DD">
        <w:rPr>
          <w:i/>
          <w:iCs/>
          <w:sz w:val="24"/>
        </w:rPr>
        <w:t xml:space="preserve">Id. </w:t>
      </w:r>
      <w:r w:rsidRPr="006A67DD">
        <w:rPr>
          <w:sz w:val="24"/>
        </w:rPr>
        <w:t>Its preparation is not the practice of law and requires no le</w:t>
      </w:r>
      <w:r w:rsidRPr="006A67DD">
        <w:rPr>
          <w:sz w:val="24"/>
        </w:rPr>
        <w:t xml:space="preserve">gal analysis. </w:t>
      </w:r>
      <w:r w:rsidRPr="006A67DD">
        <w:rPr>
          <w:i/>
          <w:iCs/>
          <w:sz w:val="24"/>
        </w:rPr>
        <w:t>Id.</w:t>
      </w:r>
    </w:p>
    <w:p w:rsidR="00000000" w:rsidRPr="006A67DD" w:rsidRDefault="00812EE3" w:rsidP="006A67DD">
      <w:pPr>
        <w:pStyle w:val="NormalWeb"/>
        <w:jc w:val="left"/>
        <w:divId w:val="957180244"/>
        <w:rPr>
          <w:sz w:val="24"/>
        </w:rPr>
      </w:pPr>
      <w:r w:rsidRPr="006A67DD">
        <w:rPr>
          <w:sz w:val="24"/>
        </w:rPr>
        <w:t xml:space="preserve">        The Court agrees with the reasoning in </w:t>
      </w:r>
      <w:r w:rsidRPr="006A67DD">
        <w:rPr>
          <w:i/>
          <w:iCs/>
          <w:sz w:val="24"/>
        </w:rPr>
        <w:t xml:space="preserve">Boyd </w:t>
      </w:r>
      <w:r w:rsidRPr="006A67DD">
        <w:rPr>
          <w:sz w:val="24"/>
        </w:rPr>
        <w:t xml:space="preserve">and </w:t>
      </w:r>
      <w:r w:rsidRPr="006A67DD">
        <w:rPr>
          <w:i/>
          <w:iCs/>
          <w:sz w:val="24"/>
        </w:rPr>
        <w:t xml:space="preserve">Carr. </w:t>
      </w:r>
      <w:r w:rsidRPr="006A67DD">
        <w:rPr>
          <w:sz w:val="24"/>
        </w:rPr>
        <w:t xml:space="preserve">Ms. </w:t>
      </w:r>
      <w:proofErr w:type="spellStart"/>
      <w:r w:rsidRPr="006A67DD">
        <w:rPr>
          <w:sz w:val="24"/>
        </w:rPr>
        <w:t>Roife's</w:t>
      </w:r>
      <w:proofErr w:type="spellEnd"/>
      <w:r w:rsidRPr="006A67DD">
        <w:rPr>
          <w:sz w:val="24"/>
        </w:rPr>
        <w:t xml:space="preserve"> objection to $125.00 in legal fees is sustained. </w:t>
      </w:r>
      <w:proofErr w:type="spellStart"/>
      <w:r w:rsidRPr="006A67DD">
        <w:rPr>
          <w:sz w:val="24"/>
        </w:rPr>
        <w:t>Midfirst</w:t>
      </w:r>
      <w:proofErr w:type="spellEnd"/>
      <w:r w:rsidRPr="006A67DD">
        <w:rPr>
          <w:sz w:val="24"/>
        </w:rPr>
        <w:t xml:space="preserve"> admits that $50.00 of the legal fees listed was charged for the preparation of the Fee Notice. The additional $75.00 was charged for the preparation of the Notice of Mortgage Payment Cha</w:t>
      </w:r>
      <w:r w:rsidRPr="006A67DD">
        <w:rPr>
          <w:sz w:val="24"/>
        </w:rPr>
        <w:t xml:space="preserve">nge. The rationale in </w:t>
      </w:r>
      <w:r w:rsidRPr="006A67DD">
        <w:rPr>
          <w:i/>
          <w:iCs/>
          <w:sz w:val="24"/>
        </w:rPr>
        <w:t xml:space="preserve">Carr </w:t>
      </w:r>
      <w:r w:rsidRPr="006A67DD">
        <w:rPr>
          <w:sz w:val="24"/>
        </w:rPr>
        <w:t xml:space="preserve">also applies to legal fees incurred in </w:t>
      </w:r>
      <w:r w:rsidRPr="006A67DD">
        <w:rPr>
          <w:sz w:val="24"/>
        </w:rPr>
        <w:lastRenderedPageBreak/>
        <w:t xml:space="preserve">preparing the Notice of Mortgage Payment Change. </w:t>
      </w:r>
      <w:r w:rsidRPr="006A67DD">
        <w:rPr>
          <w:i/>
          <w:iCs/>
          <w:sz w:val="24"/>
        </w:rPr>
        <w:t xml:space="preserve">See also In re Adams, </w:t>
      </w:r>
      <w:r w:rsidRPr="006A67DD">
        <w:rPr>
          <w:sz w:val="24"/>
        </w:rPr>
        <w:t>2013 WL 1570054 (</w:t>
      </w:r>
      <w:proofErr w:type="spellStart"/>
      <w:r w:rsidRPr="006A67DD">
        <w:rPr>
          <w:sz w:val="24"/>
        </w:rPr>
        <w:t>Bankr</w:t>
      </w:r>
      <w:proofErr w:type="spellEnd"/>
      <w:r w:rsidRPr="006A67DD">
        <w:rPr>
          <w:sz w:val="24"/>
        </w:rPr>
        <w:t>. E.D.N.C. May 3, 2012) (preparation of Notice of Mortgage Payment Change is a ministerial task—c</w:t>
      </w:r>
      <w:r w:rsidRPr="006A67DD">
        <w:rPr>
          <w:sz w:val="24"/>
        </w:rPr>
        <w:t>ounsel failed to show that its preparation required assistance of attorney). The</w:t>
      </w:r>
    </w:p>
    <w:p w:rsidR="00000000" w:rsidRPr="006A67DD" w:rsidRDefault="00812EE3" w:rsidP="006A67DD">
      <w:pPr>
        <w:pStyle w:val="NormalWeb"/>
        <w:jc w:val="left"/>
        <w:divId w:val="957180244"/>
        <w:rPr>
          <w:sz w:val="24"/>
        </w:rPr>
      </w:pPr>
      <w:r w:rsidRPr="006A67DD">
        <w:rPr>
          <w:sz w:val="24"/>
        </w:rPr>
        <w:t>Page 6</w:t>
      </w:r>
    </w:p>
    <w:p w:rsidR="00000000" w:rsidRPr="006A67DD" w:rsidRDefault="00812EE3" w:rsidP="006A67DD">
      <w:pPr>
        <w:pStyle w:val="NormalWeb"/>
        <w:jc w:val="left"/>
        <w:divId w:val="957180244"/>
        <w:rPr>
          <w:sz w:val="24"/>
        </w:rPr>
      </w:pPr>
      <w:proofErr w:type="gramStart"/>
      <w:r w:rsidRPr="006A67DD">
        <w:rPr>
          <w:sz w:val="24"/>
        </w:rPr>
        <w:t>mere</w:t>
      </w:r>
      <w:proofErr w:type="gramEnd"/>
      <w:r w:rsidRPr="006A67DD">
        <w:rPr>
          <w:sz w:val="24"/>
        </w:rPr>
        <w:t xml:space="preserve"> fact that sanctions may be imposed for incorrectly performing this task does not justify the award of fees. Non-bankruptcy law provides penalties for failing to co</w:t>
      </w:r>
      <w:r w:rsidRPr="006A67DD">
        <w:rPr>
          <w:sz w:val="24"/>
        </w:rPr>
        <w:t xml:space="preserve">mply with the notice requirements of RESPA, but fees may not be charged for providing the statutorily required payment notices under RESPA. </w:t>
      </w:r>
      <w:r w:rsidRPr="006A67DD">
        <w:rPr>
          <w:i/>
          <w:iCs/>
          <w:sz w:val="24"/>
        </w:rPr>
        <w:t xml:space="preserve">See </w:t>
      </w:r>
      <w:r w:rsidRPr="006A67DD">
        <w:rPr>
          <w:sz w:val="24"/>
        </w:rPr>
        <w:t>12 U.S.C. §§ 2609 &amp; 2610.</w:t>
      </w:r>
    </w:p>
    <w:p w:rsidR="00000000" w:rsidRPr="006A67DD" w:rsidRDefault="00812EE3" w:rsidP="006A67DD">
      <w:pPr>
        <w:pStyle w:val="NormalWeb"/>
        <w:jc w:val="left"/>
        <w:divId w:val="957180244"/>
        <w:rPr>
          <w:sz w:val="24"/>
        </w:rPr>
      </w:pPr>
      <w:r w:rsidRPr="006A67DD">
        <w:rPr>
          <w:sz w:val="24"/>
        </w:rPr>
        <w:t xml:space="preserve">        Ms. </w:t>
      </w:r>
      <w:proofErr w:type="spellStart"/>
      <w:r w:rsidRPr="006A67DD">
        <w:rPr>
          <w:sz w:val="24"/>
        </w:rPr>
        <w:t>Roife's</w:t>
      </w:r>
      <w:proofErr w:type="spellEnd"/>
      <w:r w:rsidRPr="006A67DD">
        <w:rPr>
          <w:sz w:val="24"/>
        </w:rPr>
        <w:t xml:space="preserve"> remaining objections are overruled. The Court agrees that </w:t>
      </w:r>
      <w:proofErr w:type="spellStart"/>
      <w:r w:rsidRPr="006A67DD">
        <w:rPr>
          <w:sz w:val="24"/>
        </w:rPr>
        <w:t>Midfirst</w:t>
      </w:r>
      <w:proofErr w:type="spellEnd"/>
      <w:r w:rsidRPr="006A67DD">
        <w:rPr>
          <w:sz w:val="24"/>
        </w:rPr>
        <w:t xml:space="preserve"> properly completed Official Form B 10. </w:t>
      </w:r>
      <w:proofErr w:type="spellStart"/>
      <w:r w:rsidRPr="006A67DD">
        <w:rPr>
          <w:sz w:val="24"/>
        </w:rPr>
        <w:t>Midfirst</w:t>
      </w:r>
      <w:proofErr w:type="spellEnd"/>
      <w:r w:rsidRPr="006A67DD">
        <w:rPr>
          <w:sz w:val="24"/>
        </w:rPr>
        <w:t xml:space="preserve"> provided the dates on which the late fees and legal fees were incurred. No further itemization is required. </w:t>
      </w:r>
      <w:proofErr w:type="spellStart"/>
      <w:r w:rsidRPr="006A67DD">
        <w:rPr>
          <w:sz w:val="24"/>
        </w:rPr>
        <w:t>Midfirst</w:t>
      </w:r>
      <w:proofErr w:type="spellEnd"/>
      <w:r w:rsidRPr="006A67DD">
        <w:rPr>
          <w:sz w:val="24"/>
        </w:rPr>
        <w:t xml:space="preserve"> was not required to submit supporting documentation with Form B 10, but only needed to pro</w:t>
      </w:r>
      <w:r w:rsidRPr="006A67DD">
        <w:rPr>
          <w:sz w:val="24"/>
        </w:rPr>
        <w:t xml:space="preserve">vide the documentation on demand. Ms. </w:t>
      </w:r>
      <w:proofErr w:type="spellStart"/>
      <w:r w:rsidRPr="006A67DD">
        <w:rPr>
          <w:sz w:val="24"/>
        </w:rPr>
        <w:t>Roife</w:t>
      </w:r>
      <w:proofErr w:type="spellEnd"/>
      <w:r w:rsidRPr="006A67DD">
        <w:rPr>
          <w:sz w:val="24"/>
        </w:rPr>
        <w:t xml:space="preserve"> does not dispute the validity of the late fees.</w:t>
      </w:r>
    </w:p>
    <w:p w:rsidR="00000000" w:rsidRPr="006A67DD" w:rsidRDefault="00812EE3" w:rsidP="006A67DD">
      <w:pPr>
        <w:jc w:val="left"/>
        <w:divId w:val="957180244"/>
        <w:rPr>
          <w:sz w:val="24"/>
          <w:szCs w:val="24"/>
        </w:rPr>
      </w:pPr>
      <w:r w:rsidRPr="006A67DD">
        <w:rPr>
          <w:b/>
          <w:bCs/>
          <w:sz w:val="24"/>
          <w:szCs w:val="24"/>
        </w:rPr>
        <w:t>Conclusion</w:t>
      </w:r>
    </w:p>
    <w:p w:rsidR="00000000" w:rsidRPr="006A67DD" w:rsidRDefault="00812EE3" w:rsidP="006A67DD">
      <w:pPr>
        <w:pStyle w:val="NormalWeb"/>
        <w:jc w:val="left"/>
        <w:divId w:val="957180244"/>
        <w:rPr>
          <w:rFonts w:eastAsiaTheme="minorEastAsia"/>
          <w:sz w:val="24"/>
        </w:rPr>
      </w:pPr>
      <w:r w:rsidRPr="006A67DD">
        <w:rPr>
          <w:sz w:val="24"/>
        </w:rPr>
        <w:t>        The Court will enter an order consistent with this Memorandum Opinion.</w:t>
      </w:r>
    </w:p>
    <w:p w:rsidR="00000000" w:rsidRPr="006A67DD" w:rsidRDefault="00812EE3" w:rsidP="006A67DD">
      <w:pPr>
        <w:pStyle w:val="NormalWeb"/>
        <w:jc w:val="left"/>
        <w:divId w:val="957180244"/>
        <w:rPr>
          <w:sz w:val="24"/>
        </w:rPr>
      </w:pPr>
      <w:r w:rsidRPr="006A67DD">
        <w:rPr>
          <w:sz w:val="24"/>
        </w:rPr>
        <w:t>        ________________</w:t>
      </w:r>
      <w:r w:rsidRPr="006A67DD">
        <w:rPr>
          <w:sz w:val="24"/>
        </w:rPr>
        <w:br/>
        <w:t xml:space="preserve">        Marvin </w:t>
      </w:r>
      <w:proofErr w:type="spellStart"/>
      <w:r w:rsidRPr="006A67DD">
        <w:rPr>
          <w:sz w:val="24"/>
        </w:rPr>
        <w:t>Isgur</w:t>
      </w:r>
      <w:proofErr w:type="spellEnd"/>
      <w:r w:rsidRPr="006A67DD">
        <w:rPr>
          <w:sz w:val="24"/>
        </w:rPr>
        <w:br/>
        <w:t>        UNITED STATES BANKRU</w:t>
      </w:r>
      <w:r w:rsidRPr="006A67DD">
        <w:rPr>
          <w:sz w:val="24"/>
        </w:rPr>
        <w:t>PTCY JUDGE</w:t>
      </w:r>
    </w:p>
    <w:p w:rsidR="00000000" w:rsidRPr="006A67DD" w:rsidRDefault="00812EE3" w:rsidP="006A67DD">
      <w:pPr>
        <w:pStyle w:val="NormalWeb"/>
        <w:jc w:val="left"/>
        <w:divId w:val="957180244"/>
        <w:rPr>
          <w:sz w:val="24"/>
        </w:rPr>
      </w:pPr>
      <w:r w:rsidRPr="006A67DD">
        <w:rPr>
          <w:sz w:val="24"/>
        </w:rPr>
        <w:br/>
        <w:t>--------</w:t>
      </w:r>
    </w:p>
    <w:p w:rsidR="00000000" w:rsidRPr="006A67DD" w:rsidRDefault="00812EE3" w:rsidP="006A67DD">
      <w:pPr>
        <w:pStyle w:val="NormalWeb"/>
        <w:jc w:val="left"/>
        <w:divId w:val="957180244"/>
        <w:rPr>
          <w:sz w:val="24"/>
        </w:rPr>
      </w:pPr>
      <w:r w:rsidRPr="006A67DD">
        <w:rPr>
          <w:sz w:val="24"/>
        </w:rPr>
        <w:t>Notes:</w:t>
      </w:r>
    </w:p>
    <w:p w:rsidR="00000000" w:rsidRPr="006A67DD" w:rsidRDefault="00812EE3" w:rsidP="006A67DD">
      <w:pPr>
        <w:pStyle w:val="NormalWeb"/>
        <w:jc w:val="left"/>
        <w:divId w:val="957180244"/>
        <w:rPr>
          <w:sz w:val="24"/>
        </w:rPr>
      </w:pPr>
      <w:r w:rsidRPr="006A67DD">
        <w:rPr>
          <w:sz w:val="24"/>
        </w:rPr>
        <w:t>        </w:t>
      </w:r>
      <w:bookmarkStart w:id="4" w:name="fr1"/>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HYPERLINK "" \l "fn1"</w:instrText>
      </w:r>
      <w:r w:rsidRPr="006A67DD">
        <w:rPr>
          <w:sz w:val="24"/>
          <w:vertAlign w:val="superscript"/>
        </w:rPr>
        <w:instrText xml:space="preserve"> </w:instrText>
      </w:r>
      <w:r w:rsidRPr="006A67DD">
        <w:rPr>
          <w:sz w:val="24"/>
          <w:vertAlign w:val="superscript"/>
        </w:rPr>
        <w:fldChar w:fldCharType="separate"/>
      </w:r>
      <w:r w:rsidRPr="006A67DD">
        <w:rPr>
          <w:rStyle w:val="Hyperlink"/>
          <w:sz w:val="24"/>
          <w:vertAlign w:val="superscript"/>
        </w:rPr>
        <w:t>1.</w:t>
      </w:r>
      <w:r w:rsidRPr="006A67DD">
        <w:rPr>
          <w:sz w:val="24"/>
          <w:vertAlign w:val="superscript"/>
        </w:rPr>
        <w:fldChar w:fldCharType="end"/>
      </w:r>
      <w:bookmarkEnd w:id="4"/>
      <w:r w:rsidRPr="006A67DD">
        <w:rPr>
          <w:sz w:val="24"/>
        </w:rPr>
        <w:t xml:space="preserve"> </w:t>
      </w:r>
      <w:r w:rsidRPr="006A67DD">
        <w:rPr>
          <w:sz w:val="24"/>
        </w:rPr>
        <w:t>The Fee Notice provides that the late charges were incurred on 1/16/2013, 4/16/2013 and 5/16/2013. ECF No. 55 at 1. The Fee Notice provides that the legal fees were incurred on 4/9/2013 and 6/20/2013. ECF No. 55 at 1.</w:t>
      </w:r>
    </w:p>
    <w:p w:rsidR="00000000" w:rsidRPr="006A67DD" w:rsidRDefault="00812EE3" w:rsidP="006A67DD">
      <w:pPr>
        <w:pStyle w:val="NormalWeb"/>
        <w:jc w:val="left"/>
        <w:divId w:val="957180244"/>
        <w:rPr>
          <w:sz w:val="24"/>
        </w:rPr>
      </w:pPr>
      <w:r w:rsidRPr="006A67DD">
        <w:rPr>
          <w:sz w:val="24"/>
        </w:rPr>
        <w:t>        </w:t>
      </w:r>
      <w:bookmarkStart w:id="5" w:name="fr2"/>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HYPERLINK "" \l "fn2"</w:instrText>
      </w:r>
      <w:r w:rsidRPr="006A67DD">
        <w:rPr>
          <w:sz w:val="24"/>
          <w:vertAlign w:val="superscript"/>
        </w:rPr>
        <w:instrText xml:space="preserve"> </w:instrText>
      </w:r>
      <w:r w:rsidRPr="006A67DD">
        <w:rPr>
          <w:sz w:val="24"/>
          <w:vertAlign w:val="superscript"/>
        </w:rPr>
        <w:fldChar w:fldCharType="separate"/>
      </w:r>
      <w:r w:rsidRPr="006A67DD">
        <w:rPr>
          <w:rStyle w:val="Hyperlink"/>
          <w:sz w:val="24"/>
          <w:vertAlign w:val="superscript"/>
        </w:rPr>
        <w:t>2.</w:t>
      </w:r>
      <w:r w:rsidRPr="006A67DD">
        <w:rPr>
          <w:sz w:val="24"/>
          <w:vertAlign w:val="superscript"/>
        </w:rPr>
        <w:fldChar w:fldCharType="end"/>
      </w:r>
      <w:bookmarkEnd w:id="5"/>
      <w:r w:rsidRPr="006A67DD">
        <w:rPr>
          <w:sz w:val="24"/>
        </w:rPr>
        <w:t xml:space="preserve"> T</w:t>
      </w:r>
      <w:r w:rsidRPr="006A67DD">
        <w:rPr>
          <w:sz w:val="24"/>
        </w:rPr>
        <w:t xml:space="preserve">he other $75.00 in legal fees was incurred on April 9, 2013 for the preparation and filing of the Notice of Mortgage Payment Change. </w:t>
      </w:r>
      <w:proofErr w:type="spellStart"/>
      <w:r w:rsidRPr="006A67DD">
        <w:rPr>
          <w:sz w:val="24"/>
        </w:rPr>
        <w:t>Midfirst's</w:t>
      </w:r>
      <w:proofErr w:type="spellEnd"/>
      <w:r w:rsidRPr="006A67DD">
        <w:rPr>
          <w:sz w:val="24"/>
        </w:rPr>
        <w:t xml:space="preserve"> Exhibit 2.</w:t>
      </w:r>
    </w:p>
    <w:p w:rsidR="00000000" w:rsidRPr="006A67DD" w:rsidRDefault="00812EE3" w:rsidP="006A67DD">
      <w:pPr>
        <w:pStyle w:val="NormalWeb"/>
        <w:jc w:val="left"/>
        <w:divId w:val="957180244"/>
        <w:rPr>
          <w:sz w:val="24"/>
        </w:rPr>
      </w:pPr>
      <w:r w:rsidRPr="006A67DD">
        <w:rPr>
          <w:sz w:val="24"/>
        </w:rPr>
        <w:t>        </w:t>
      </w:r>
      <w:bookmarkStart w:id="6" w:name="fr3"/>
      <w:r w:rsidRPr="006A67DD">
        <w:rPr>
          <w:sz w:val="24"/>
          <w:vertAlign w:val="superscript"/>
        </w:rPr>
        <w:fldChar w:fldCharType="begin"/>
      </w:r>
      <w:r w:rsidRPr="006A67DD">
        <w:rPr>
          <w:sz w:val="24"/>
          <w:vertAlign w:val="superscript"/>
        </w:rPr>
        <w:instrText xml:space="preserve"> </w:instrText>
      </w:r>
      <w:r w:rsidRPr="006A67DD">
        <w:rPr>
          <w:sz w:val="24"/>
          <w:vertAlign w:val="superscript"/>
        </w:rPr>
        <w:instrText>HYPERLINK "" \l "fn3"</w:instrText>
      </w:r>
      <w:r w:rsidRPr="006A67DD">
        <w:rPr>
          <w:sz w:val="24"/>
          <w:vertAlign w:val="superscript"/>
        </w:rPr>
        <w:instrText xml:space="preserve"> </w:instrText>
      </w:r>
      <w:r w:rsidRPr="006A67DD">
        <w:rPr>
          <w:sz w:val="24"/>
          <w:vertAlign w:val="superscript"/>
        </w:rPr>
        <w:fldChar w:fldCharType="separate"/>
      </w:r>
      <w:r w:rsidRPr="006A67DD">
        <w:rPr>
          <w:rStyle w:val="Hyperlink"/>
          <w:sz w:val="24"/>
          <w:vertAlign w:val="superscript"/>
        </w:rPr>
        <w:t>3.</w:t>
      </w:r>
      <w:r w:rsidRPr="006A67DD">
        <w:rPr>
          <w:sz w:val="24"/>
          <w:vertAlign w:val="superscript"/>
        </w:rPr>
        <w:fldChar w:fldCharType="end"/>
      </w:r>
      <w:bookmarkEnd w:id="6"/>
      <w:r w:rsidRPr="006A67DD">
        <w:rPr>
          <w:sz w:val="24"/>
        </w:rPr>
        <w:t xml:space="preserve"> The Fee Notice was filed in the claims register as a supplement </w:t>
      </w:r>
      <w:r w:rsidRPr="006A67DD">
        <w:rPr>
          <w:sz w:val="24"/>
        </w:rPr>
        <w:t xml:space="preserve">to the proof of claim and the Response to the Notice of Final Cure Payment was filed in the court's docket. </w:t>
      </w:r>
      <w:proofErr w:type="gramStart"/>
      <w:r w:rsidRPr="006A67DD">
        <w:rPr>
          <w:i/>
          <w:iCs/>
          <w:sz w:val="24"/>
        </w:rPr>
        <w:t xml:space="preserve">In re Carr, </w:t>
      </w:r>
      <w:r w:rsidRPr="006A67DD">
        <w:rPr>
          <w:sz w:val="24"/>
        </w:rPr>
        <w:t>468 B.R. at 807.</w:t>
      </w:r>
      <w:proofErr w:type="gramEnd"/>
    </w:p>
    <w:p w:rsidR="00000000" w:rsidRPr="006A67DD" w:rsidRDefault="00812EE3" w:rsidP="006A67DD">
      <w:pPr>
        <w:pStyle w:val="NormalWeb"/>
        <w:jc w:val="left"/>
        <w:divId w:val="957180244"/>
        <w:rPr>
          <w:sz w:val="24"/>
        </w:rPr>
      </w:pPr>
      <w:r w:rsidRPr="006A67DD">
        <w:rPr>
          <w:sz w:val="24"/>
        </w:rPr>
        <w:br/>
        <w:t>--------</w:t>
      </w:r>
    </w:p>
    <w:p w:rsidR="00780B98" w:rsidRPr="006A67DD" w:rsidRDefault="00780B98" w:rsidP="006A67DD">
      <w:pPr>
        <w:jc w:val="left"/>
        <w:rPr>
          <w:sz w:val="24"/>
          <w:szCs w:val="24"/>
        </w:rPr>
        <w:sectPr w:rsidR="00780B98" w:rsidRPr="006A67DD">
          <w:type w:val="continuous"/>
          <w:pgSz w:w="12240" w:h="15840"/>
          <w:pgMar w:top="1440" w:right="1440" w:bottom="1440" w:left="1440" w:header="720" w:footer="720" w:gutter="0"/>
          <w:cols w:space="720"/>
        </w:sectPr>
      </w:pPr>
    </w:p>
    <w:p w:rsidR="00812EE3" w:rsidRPr="006A67DD" w:rsidRDefault="00812EE3" w:rsidP="006A67DD">
      <w:pPr>
        <w:jc w:val="left"/>
        <w:rPr>
          <w:sz w:val="24"/>
          <w:szCs w:val="24"/>
        </w:rPr>
      </w:pPr>
    </w:p>
    <w:sectPr w:rsidR="00812EE3" w:rsidRPr="006A67DD" w:rsidSect="00C6484D">
      <w:type w:val="continuous"/>
      <w:pgSz w:w="12240" w:h="15840" w:code="1"/>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2EE3" w:rsidRDefault="00812EE3">
      <w:r>
        <w:separator/>
      </w:r>
    </w:p>
  </w:endnote>
  <w:endnote w:type="continuationSeparator" w:id="0">
    <w:p w:rsidR="00812EE3" w:rsidRDefault="00812E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847428" w:rsidP="00A93E6E">
    <w:pPr>
      <w:pStyle w:val="Footer"/>
      <w:tabs>
        <w:tab w:val="clear" w:pos="8640"/>
        <w:tab w:val="right" w:pos="9360"/>
      </w:tabs>
      <w:spacing w:after="480"/>
      <w:jc w:val="left"/>
    </w:pPr>
    <w:r w:rsidRPr="00847428">
      <w:rPr>
        <w:noProof/>
      </w:rPr>
      <w:drawing>
        <wp:inline distT="0" distB="0" distL="0" distR="0" wp14:anchorId="41412A5A" wp14:editId="7C029B87">
          <wp:extent cx="862013" cy="391205"/>
          <wp:effectExtent l="19050" t="0" r="0" b="0"/>
          <wp:docPr id="3" name="Picture 1" descr=":::Desktop:f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fc.png"/>
                  <pic:cNvPicPr>
                    <a:picLocks noChangeAspect="1" noChangeArrowheads="1"/>
                  </pic:cNvPicPr>
                </pic:nvPicPr>
                <pic:blipFill>
                  <a:blip r:embed="rId1"/>
                  <a:srcRect b="8000"/>
                  <a:stretch>
                    <a:fillRect/>
                  </a:stretch>
                </pic:blipFill>
                <pic:spPr bwMode="auto">
                  <a:xfrm>
                    <a:off x="0" y="0"/>
                    <a:ext cx="862013" cy="391205"/>
                  </a:xfrm>
                  <a:prstGeom prst="rect">
                    <a:avLst/>
                  </a:prstGeom>
                  <a:noFill/>
                  <a:ln w="9525">
                    <a:noFill/>
                    <a:miter lim="800000"/>
                    <a:headEnd/>
                    <a:tailEnd/>
                  </a:ln>
                </pic:spPr>
              </pic:pic>
            </a:graphicData>
          </a:graphic>
        </wp:inline>
      </w:drawing>
    </w:r>
    <w:r w:rsidR="00C07AD2">
      <w:tab/>
    </w:r>
    <w:r w:rsidR="00C07AD2">
      <w:tab/>
      <w:t xml:space="preserve">     - </w:t>
    </w:r>
    <w:r w:rsidR="00812EE3">
      <w:fldChar w:fldCharType="begin"/>
    </w:r>
    <w:r w:rsidR="00812EE3">
      <w:instrText xml:space="preserve"> PAGE </w:instrText>
    </w:r>
    <w:r w:rsidR="00812EE3">
      <w:fldChar w:fldCharType="separate"/>
    </w:r>
    <w:r w:rsidR="00142EE9">
      <w:rPr>
        <w:noProof/>
      </w:rPr>
      <w:t>1</w:t>
    </w:r>
    <w:r w:rsidR="00812EE3">
      <w:rPr>
        <w:noProof/>
      </w:rPr>
      <w:fldChar w:fldCharType="end"/>
    </w:r>
    <w:r w:rsidR="00C07AD2">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2EE3" w:rsidRDefault="00812EE3">
      <w:r>
        <w:separator/>
      </w:r>
    </w:p>
  </w:footnote>
  <w:footnote w:type="continuationSeparator" w:id="0">
    <w:p w:rsidR="00812EE3" w:rsidRDefault="00812EE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26E5B" w:rsidRDefault="00297572" w:rsidP="003360C5">
    <w:pPr>
      <w:pStyle w:val="Header"/>
      <w:tabs>
        <w:tab w:val="left" w:pos="540"/>
        <w:tab w:val="right" w:pos="9360"/>
      </w:tabs>
      <w:rPr>
        <w:noProof/>
      </w:rPr>
    </w:pPr>
    <w:r>
      <w:rPr>
        <w:noProof/>
      </w:rPr>
      <w:t>In re Roife (Bankr. S.D. Tex., 2013)</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698C" w:rsidRDefault="00CB698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604E0114"/>
    <w:lvl w:ilvl="0">
      <w:start w:val="1"/>
      <w:numFmt w:val="decimal"/>
      <w:lvlText w:val="%1."/>
      <w:lvlJc w:val="left"/>
      <w:pPr>
        <w:tabs>
          <w:tab w:val="num" w:pos="1800"/>
        </w:tabs>
        <w:ind w:left="1800" w:hanging="360"/>
      </w:pPr>
    </w:lvl>
  </w:abstractNum>
  <w:abstractNum w:abstractNumId="1">
    <w:nsid w:val="FFFFFF7D"/>
    <w:multiLevelType w:val="singleLevel"/>
    <w:tmpl w:val="BDD08D12"/>
    <w:lvl w:ilvl="0">
      <w:start w:val="1"/>
      <w:numFmt w:val="decimal"/>
      <w:lvlText w:val="%1."/>
      <w:lvlJc w:val="left"/>
      <w:pPr>
        <w:tabs>
          <w:tab w:val="num" w:pos="1440"/>
        </w:tabs>
        <w:ind w:left="1440" w:hanging="360"/>
      </w:pPr>
    </w:lvl>
  </w:abstractNum>
  <w:abstractNum w:abstractNumId="2">
    <w:nsid w:val="FFFFFF7E"/>
    <w:multiLevelType w:val="singleLevel"/>
    <w:tmpl w:val="8E62C422"/>
    <w:lvl w:ilvl="0">
      <w:start w:val="1"/>
      <w:numFmt w:val="decimal"/>
      <w:lvlText w:val="%1."/>
      <w:lvlJc w:val="left"/>
      <w:pPr>
        <w:tabs>
          <w:tab w:val="num" w:pos="1080"/>
        </w:tabs>
        <w:ind w:left="1080" w:hanging="360"/>
      </w:pPr>
    </w:lvl>
  </w:abstractNum>
  <w:abstractNum w:abstractNumId="3">
    <w:nsid w:val="FFFFFF7F"/>
    <w:multiLevelType w:val="singleLevel"/>
    <w:tmpl w:val="07F6A460"/>
    <w:lvl w:ilvl="0">
      <w:start w:val="1"/>
      <w:numFmt w:val="decimal"/>
      <w:lvlText w:val="%1."/>
      <w:lvlJc w:val="left"/>
      <w:pPr>
        <w:tabs>
          <w:tab w:val="num" w:pos="720"/>
        </w:tabs>
        <w:ind w:left="720" w:hanging="360"/>
      </w:pPr>
    </w:lvl>
  </w:abstractNum>
  <w:abstractNum w:abstractNumId="4">
    <w:nsid w:val="FFFFFF80"/>
    <w:multiLevelType w:val="singleLevel"/>
    <w:tmpl w:val="10EEE392"/>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9BAA16E"/>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C5E6A6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D2BE5382"/>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8469A8A"/>
    <w:lvl w:ilvl="0">
      <w:start w:val="1"/>
      <w:numFmt w:val="decimal"/>
      <w:lvlText w:val="%1."/>
      <w:lvlJc w:val="left"/>
      <w:pPr>
        <w:tabs>
          <w:tab w:val="num" w:pos="360"/>
        </w:tabs>
        <w:ind w:left="360" w:hanging="360"/>
      </w:pPr>
    </w:lvl>
  </w:abstractNum>
  <w:abstractNum w:abstractNumId="9">
    <w:nsid w:val="FFFFFF89"/>
    <w:multiLevelType w:val="singleLevel"/>
    <w:tmpl w:val="571ADC02"/>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hideSpellingErrors/>
  <w:hideGrammaticalErrors/>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noPunctuationKerning/>
  <w:characterSpacingControl w:val="doNotCompress"/>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4DA5"/>
    <w:rsid w:val="00051A35"/>
    <w:rsid w:val="00051E7E"/>
    <w:rsid w:val="00085292"/>
    <w:rsid w:val="00096290"/>
    <w:rsid w:val="000A31D6"/>
    <w:rsid w:val="000B6D6D"/>
    <w:rsid w:val="000B72D7"/>
    <w:rsid w:val="000D4E3F"/>
    <w:rsid w:val="00121FB0"/>
    <w:rsid w:val="00126E5B"/>
    <w:rsid w:val="001344F6"/>
    <w:rsid w:val="00142EE9"/>
    <w:rsid w:val="00164712"/>
    <w:rsid w:val="00167058"/>
    <w:rsid w:val="001805BB"/>
    <w:rsid w:val="00187DFB"/>
    <w:rsid w:val="001962F9"/>
    <w:rsid w:val="00197BFE"/>
    <w:rsid w:val="001C6190"/>
    <w:rsid w:val="001C7D8A"/>
    <w:rsid w:val="00252C20"/>
    <w:rsid w:val="00256912"/>
    <w:rsid w:val="00292200"/>
    <w:rsid w:val="00297572"/>
    <w:rsid w:val="002C6F14"/>
    <w:rsid w:val="002E0096"/>
    <w:rsid w:val="002F598D"/>
    <w:rsid w:val="003056EB"/>
    <w:rsid w:val="0032799C"/>
    <w:rsid w:val="003360C5"/>
    <w:rsid w:val="0036180A"/>
    <w:rsid w:val="003661DC"/>
    <w:rsid w:val="0039520F"/>
    <w:rsid w:val="00396593"/>
    <w:rsid w:val="003A2318"/>
    <w:rsid w:val="003E103A"/>
    <w:rsid w:val="00402F07"/>
    <w:rsid w:val="00442BDF"/>
    <w:rsid w:val="004435E0"/>
    <w:rsid w:val="00450553"/>
    <w:rsid w:val="004A3207"/>
    <w:rsid w:val="004F4DA5"/>
    <w:rsid w:val="00510F9A"/>
    <w:rsid w:val="00512E24"/>
    <w:rsid w:val="005226CA"/>
    <w:rsid w:val="00532424"/>
    <w:rsid w:val="005B0672"/>
    <w:rsid w:val="005B77B2"/>
    <w:rsid w:val="005F485A"/>
    <w:rsid w:val="006266CC"/>
    <w:rsid w:val="00642C75"/>
    <w:rsid w:val="00654B63"/>
    <w:rsid w:val="00663118"/>
    <w:rsid w:val="006A67DD"/>
    <w:rsid w:val="006B2743"/>
    <w:rsid w:val="006D40FC"/>
    <w:rsid w:val="007008E5"/>
    <w:rsid w:val="0073298A"/>
    <w:rsid w:val="007343A8"/>
    <w:rsid w:val="007436B8"/>
    <w:rsid w:val="00744CCA"/>
    <w:rsid w:val="00753EFC"/>
    <w:rsid w:val="00780B98"/>
    <w:rsid w:val="007A17D3"/>
    <w:rsid w:val="007A5A6C"/>
    <w:rsid w:val="007B4A14"/>
    <w:rsid w:val="007E4CA7"/>
    <w:rsid w:val="007E7B5A"/>
    <w:rsid w:val="0081135E"/>
    <w:rsid w:val="00812EE3"/>
    <w:rsid w:val="00833DB1"/>
    <w:rsid w:val="00847428"/>
    <w:rsid w:val="00874451"/>
    <w:rsid w:val="008865F4"/>
    <w:rsid w:val="008C12C7"/>
    <w:rsid w:val="008E574D"/>
    <w:rsid w:val="008F552E"/>
    <w:rsid w:val="0093164C"/>
    <w:rsid w:val="00981D11"/>
    <w:rsid w:val="0099785F"/>
    <w:rsid w:val="009D2692"/>
    <w:rsid w:val="00A00264"/>
    <w:rsid w:val="00A056A4"/>
    <w:rsid w:val="00A0572C"/>
    <w:rsid w:val="00A12F85"/>
    <w:rsid w:val="00A6153A"/>
    <w:rsid w:val="00A76A74"/>
    <w:rsid w:val="00A93E6E"/>
    <w:rsid w:val="00AB61D3"/>
    <w:rsid w:val="00AC22CD"/>
    <w:rsid w:val="00AC49F6"/>
    <w:rsid w:val="00AF30A0"/>
    <w:rsid w:val="00B23B5A"/>
    <w:rsid w:val="00B40429"/>
    <w:rsid w:val="00B71B91"/>
    <w:rsid w:val="00BA0F31"/>
    <w:rsid w:val="00BA6F1B"/>
    <w:rsid w:val="00BD5AA8"/>
    <w:rsid w:val="00BE2204"/>
    <w:rsid w:val="00BE3D5C"/>
    <w:rsid w:val="00C028B7"/>
    <w:rsid w:val="00C07AD2"/>
    <w:rsid w:val="00C36C87"/>
    <w:rsid w:val="00C56308"/>
    <w:rsid w:val="00C6484D"/>
    <w:rsid w:val="00CA38DF"/>
    <w:rsid w:val="00CB698C"/>
    <w:rsid w:val="00CE1F75"/>
    <w:rsid w:val="00CE53A2"/>
    <w:rsid w:val="00CF716B"/>
    <w:rsid w:val="00D03473"/>
    <w:rsid w:val="00D10D0C"/>
    <w:rsid w:val="00D16C2A"/>
    <w:rsid w:val="00D9309C"/>
    <w:rsid w:val="00DA0885"/>
    <w:rsid w:val="00DC3FED"/>
    <w:rsid w:val="00DC6299"/>
    <w:rsid w:val="00DF424E"/>
    <w:rsid w:val="00E04577"/>
    <w:rsid w:val="00E25DF6"/>
    <w:rsid w:val="00E8364C"/>
    <w:rsid w:val="00E85888"/>
    <w:rsid w:val="00EB3F26"/>
    <w:rsid w:val="00ED7E20"/>
    <w:rsid w:val="00EE25F6"/>
    <w:rsid w:val="00EF2D2E"/>
    <w:rsid w:val="00EF4A9C"/>
    <w:rsid w:val="00EF7973"/>
    <w:rsid w:val="00F24768"/>
    <w:rsid w:val="00F6728D"/>
    <w:rsid w:val="00F7138E"/>
    <w:rsid w:val="00F84592"/>
    <w:rsid w:val="00FE27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10D0C"/>
    <w:pPr>
      <w:spacing w:after="200"/>
      <w:jc w:val="both"/>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autoRedefine/>
    <w:rsid w:val="00532424"/>
    <w:pPr>
      <w:pBdr>
        <w:bottom w:val="single" w:sz="4" w:space="1" w:color="999999"/>
      </w:pBdr>
      <w:jc w:val="center"/>
    </w:pPr>
    <w:rPr>
      <w:rFonts w:ascii="Arial" w:hAnsi="Arial"/>
      <w:color w:val="999999"/>
      <w:sz w:val="16"/>
    </w:rPr>
  </w:style>
  <w:style w:type="paragraph" w:styleId="Footer">
    <w:name w:val="footer"/>
    <w:basedOn w:val="Normal"/>
    <w:rsid w:val="00532424"/>
    <w:pPr>
      <w:tabs>
        <w:tab w:val="center" w:pos="4320"/>
        <w:tab w:val="right" w:pos="8640"/>
      </w:tabs>
    </w:pPr>
    <w:rPr>
      <w:rFonts w:ascii="Arial" w:hAnsi="Arial"/>
      <w:color w:val="999999"/>
      <w:sz w:val="16"/>
    </w:rPr>
  </w:style>
  <w:style w:type="paragraph" w:customStyle="1" w:styleId="HeadingCitation">
    <w:name w:val="HeadingCitation"/>
    <w:basedOn w:val="Normal"/>
    <w:rsid w:val="00C028B7"/>
    <w:pPr>
      <w:jc w:val="center"/>
    </w:pPr>
  </w:style>
  <w:style w:type="paragraph" w:customStyle="1" w:styleId="HeadingCitationBold">
    <w:name w:val="HeadingCitationBold"/>
    <w:basedOn w:val="Normal"/>
    <w:rsid w:val="00C028B7"/>
    <w:pPr>
      <w:jc w:val="center"/>
    </w:pPr>
    <w:rPr>
      <w:b/>
    </w:rPr>
  </w:style>
  <w:style w:type="paragraph" w:styleId="BalloonText">
    <w:name w:val="Balloon Text"/>
    <w:basedOn w:val="Normal"/>
    <w:link w:val="BalloonTextChar"/>
    <w:rsid w:val="00CA38DF"/>
    <w:rPr>
      <w:rFonts w:ascii="Tahoma" w:hAnsi="Tahoma" w:cs="Tahoma"/>
      <w:sz w:val="16"/>
      <w:szCs w:val="16"/>
    </w:rPr>
  </w:style>
  <w:style w:type="character" w:customStyle="1" w:styleId="BalloonTextChar">
    <w:name w:val="Balloon Text Char"/>
    <w:basedOn w:val="DefaultParagraphFont"/>
    <w:link w:val="BalloonText"/>
    <w:rsid w:val="00CA38DF"/>
    <w:rPr>
      <w:rFonts w:ascii="Tahoma" w:hAnsi="Tahoma" w:cs="Tahoma"/>
      <w:sz w:val="16"/>
      <w:szCs w:val="16"/>
    </w:rPr>
  </w:style>
  <w:style w:type="character" w:styleId="PlaceholderText">
    <w:name w:val="Placeholder Text"/>
    <w:basedOn w:val="DefaultParagraphFont"/>
    <w:uiPriority w:val="99"/>
    <w:semiHidden/>
    <w:rsid w:val="00CA38DF"/>
    <w:rPr>
      <w:color w:val="808080"/>
    </w:rPr>
  </w:style>
  <w:style w:type="paragraph" w:styleId="HTMLPreformatted">
    <w:name w:val="HTML Preformatted"/>
    <w:basedOn w:val="Normal"/>
    <w:link w:val="HTMLPreformattedChar"/>
    <w:rsid w:val="0081135E"/>
    <w:rPr>
      <w:rFonts w:ascii="Courier New" w:hAnsi="Courier New" w:cs="Consolas"/>
      <w:sz w:val="18"/>
      <w:szCs w:val="20"/>
    </w:rPr>
  </w:style>
  <w:style w:type="character" w:customStyle="1" w:styleId="HTMLPreformattedChar">
    <w:name w:val="HTML Preformatted Char"/>
    <w:basedOn w:val="DefaultParagraphFont"/>
    <w:link w:val="HTMLPreformatted"/>
    <w:rsid w:val="0081135E"/>
    <w:rPr>
      <w:rFonts w:ascii="Courier New" w:hAnsi="Courier New" w:cs="Consolas"/>
      <w:sz w:val="18"/>
    </w:rPr>
  </w:style>
  <w:style w:type="paragraph" w:styleId="NormalWeb">
    <w:name w:val="Normal (Web)"/>
    <w:basedOn w:val="Normal"/>
    <w:uiPriority w:val="99"/>
    <w:rsid w:val="007A17D3"/>
    <w:rPr>
      <w:szCs w:val="24"/>
    </w:rPr>
  </w:style>
  <w:style w:type="character" w:styleId="Hyperlink">
    <w:name w:val="Hyperlink"/>
    <w:basedOn w:val="DefaultParagraphFont"/>
    <w:uiPriority w:val="99"/>
    <w:unhideWhenUse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7180244">
      <w:bodyDiv w:val="1"/>
      <w:marLeft w:val="0"/>
      <w:marRight w:val="0"/>
      <w:marTop w:val="0"/>
      <w:marBottom w:val="0"/>
      <w:divBdr>
        <w:top w:val="none" w:sz="0" w:space="0" w:color="auto"/>
        <w:left w:val="none" w:sz="0" w:space="0" w:color="auto"/>
        <w:bottom w:val="none" w:sz="0" w:space="0" w:color="auto"/>
        <w:right w:val="none" w:sz="0" w:space="0" w:color="auto"/>
      </w:divBdr>
      <w:divsChild>
        <w:div w:id="417335969">
          <w:blockQuote w:val="1"/>
          <w:marLeft w:val="720"/>
          <w:marRight w:val="720"/>
          <w:marTop w:val="100"/>
          <w:marBottom w:val="100"/>
          <w:divBdr>
            <w:top w:val="none" w:sz="0" w:space="0" w:color="auto"/>
            <w:left w:val="none" w:sz="0" w:space="0" w:color="auto"/>
            <w:bottom w:val="none" w:sz="0" w:space="0" w:color="auto"/>
            <w:right w:val="none" w:sz="0" w:space="0" w:color="auto"/>
          </w:divBdr>
        </w:div>
        <w:div w:id="1246963322">
          <w:blockQuote w:val="1"/>
          <w:marLeft w:val="720"/>
          <w:marRight w:val="720"/>
          <w:marTop w:val="100"/>
          <w:marBottom w:val="100"/>
          <w:divBdr>
            <w:top w:val="none" w:sz="0" w:space="0" w:color="auto"/>
            <w:left w:val="none" w:sz="0" w:space="0" w:color="auto"/>
            <w:bottom w:val="none" w:sz="0" w:space="0" w:color="auto"/>
            <w:right w:val="none" w:sz="0" w:space="0" w:color="auto"/>
          </w:divBdr>
        </w:div>
        <w:div w:id="88109327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4</Pages>
  <Words>1624</Words>
  <Characters>9259</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Fastcase</Company>
  <LinksUpToDate>false</LinksUpToDate>
  <CharactersWithSpaces>10862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dc:creator>
  <cp:lastModifiedBy>Lisa</cp:lastModifiedBy>
  <cp:revision>3</cp:revision>
  <cp:lastPrinted>2002-11-25T15:49:00Z</cp:lastPrinted>
  <dcterms:created xsi:type="dcterms:W3CDTF">2013-12-20T16:37:00Z</dcterms:created>
  <dcterms:modified xsi:type="dcterms:W3CDTF">2013-12-20T18:25:00Z</dcterms:modified>
</cp:coreProperties>
</file>