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BA" w:rsidRPr="000A3C75" w:rsidRDefault="009F53BA" w:rsidP="0094034D">
      <w:pPr>
        <w:widowControl/>
        <w:spacing w:line="480" w:lineRule="exact"/>
        <w:ind w:firstLine="720"/>
        <w:jc w:val="center"/>
        <w:rPr>
          <w:b/>
          <w:szCs w:val="24"/>
        </w:rPr>
      </w:pPr>
      <w:bookmarkStart w:id="0" w:name="_GoBack"/>
      <w:bookmarkEnd w:id="0"/>
    </w:p>
    <w:p w:rsidR="009F53BA" w:rsidRPr="000A3C75" w:rsidRDefault="009F53BA" w:rsidP="009F53BA">
      <w:pPr>
        <w:widowControl/>
        <w:spacing w:line="480" w:lineRule="exact"/>
        <w:ind w:firstLine="720"/>
        <w:jc w:val="both"/>
        <w:rPr>
          <w:szCs w:val="24"/>
        </w:rPr>
      </w:pPr>
    </w:p>
    <w:p w:rsidR="009F53BA" w:rsidRPr="000A3C75" w:rsidRDefault="009F53BA" w:rsidP="009F53BA">
      <w:pPr>
        <w:widowControl/>
        <w:spacing w:line="480" w:lineRule="exact"/>
        <w:ind w:firstLine="720"/>
        <w:jc w:val="both"/>
        <w:rPr>
          <w:szCs w:val="24"/>
        </w:rPr>
      </w:pPr>
    </w:p>
    <w:p w:rsidR="009F53BA" w:rsidRPr="000A3C75" w:rsidRDefault="009F53BA" w:rsidP="009F53BA">
      <w:pPr>
        <w:widowControl/>
        <w:spacing w:line="480" w:lineRule="exact"/>
        <w:ind w:firstLine="720"/>
        <w:jc w:val="both"/>
        <w:rPr>
          <w:szCs w:val="24"/>
        </w:rPr>
      </w:pPr>
    </w:p>
    <w:p w:rsidR="009F53BA" w:rsidRPr="000A3C75" w:rsidRDefault="009F53BA" w:rsidP="009F53BA">
      <w:pPr>
        <w:widowControl/>
        <w:spacing w:line="480" w:lineRule="exact"/>
        <w:ind w:firstLine="720"/>
        <w:jc w:val="both"/>
        <w:rPr>
          <w:szCs w:val="24"/>
        </w:rPr>
      </w:pPr>
    </w:p>
    <w:p w:rsidR="009F53BA" w:rsidRPr="000A3C75" w:rsidRDefault="009F53BA" w:rsidP="009F53BA">
      <w:pPr>
        <w:widowControl/>
        <w:spacing w:line="480" w:lineRule="exact"/>
        <w:ind w:firstLine="720"/>
        <w:jc w:val="both"/>
        <w:rPr>
          <w:szCs w:val="24"/>
        </w:rPr>
      </w:pPr>
    </w:p>
    <w:p w:rsidR="009F53BA" w:rsidRPr="000A3C75" w:rsidRDefault="009F53BA" w:rsidP="009F53BA">
      <w:pPr>
        <w:widowControl/>
        <w:spacing w:line="480" w:lineRule="exact"/>
        <w:ind w:firstLine="720"/>
        <w:jc w:val="both"/>
        <w:rPr>
          <w:szCs w:val="24"/>
        </w:rPr>
      </w:pPr>
    </w:p>
    <w:p w:rsidR="009F53BA" w:rsidRPr="000A3C75" w:rsidRDefault="009F53BA" w:rsidP="009F53BA">
      <w:pPr>
        <w:widowControl/>
        <w:spacing w:line="480" w:lineRule="exact"/>
        <w:ind w:firstLine="720"/>
        <w:jc w:val="center"/>
        <w:rPr>
          <w:szCs w:val="24"/>
        </w:rPr>
      </w:pPr>
      <w:r w:rsidRPr="000A3C75">
        <w:rPr>
          <w:szCs w:val="24"/>
        </w:rPr>
        <w:t>UNITED STATES BANKRUPTCY COURT</w:t>
      </w:r>
    </w:p>
    <w:p w:rsidR="009F53BA" w:rsidRPr="000A3C75" w:rsidRDefault="009F53BA" w:rsidP="009F53BA">
      <w:pPr>
        <w:widowControl/>
        <w:spacing w:line="480" w:lineRule="exact"/>
        <w:ind w:firstLine="720"/>
        <w:jc w:val="center"/>
        <w:rPr>
          <w:szCs w:val="24"/>
        </w:rPr>
      </w:pPr>
      <w:r w:rsidRPr="000A3C75">
        <w:rPr>
          <w:szCs w:val="24"/>
        </w:rPr>
        <w:t>SOUTHERN DISTRICT OF CALIFORNIA</w:t>
      </w:r>
    </w:p>
    <w:p w:rsidR="009F53BA" w:rsidRPr="000A3C75" w:rsidRDefault="009F53BA" w:rsidP="009F53BA">
      <w:pPr>
        <w:widowControl/>
        <w:spacing w:line="480" w:lineRule="exact"/>
        <w:ind w:firstLine="720"/>
        <w:jc w:val="center"/>
        <w:rPr>
          <w:szCs w:val="24"/>
        </w:rPr>
      </w:pPr>
    </w:p>
    <w:p w:rsidR="009F53BA" w:rsidRPr="000A3C75" w:rsidRDefault="009F53BA" w:rsidP="009F53BA">
      <w:pPr>
        <w:widowControl/>
        <w:spacing w:line="480" w:lineRule="exact"/>
        <w:ind w:firstLine="720"/>
        <w:jc w:val="center"/>
        <w:rPr>
          <w:szCs w:val="24"/>
        </w:rPr>
      </w:pPr>
    </w:p>
    <w:p w:rsidR="009F53BA" w:rsidRPr="000A3C75" w:rsidRDefault="009F53BA" w:rsidP="009F53BA">
      <w:pPr>
        <w:widowControl/>
        <w:spacing w:after="240" w:line="480" w:lineRule="exact"/>
        <w:ind w:firstLine="720"/>
        <w:jc w:val="center"/>
        <w:rPr>
          <w:szCs w:val="24"/>
        </w:rPr>
      </w:pPr>
    </w:p>
    <w:tbl>
      <w:tblPr>
        <w:tblW w:w="9450" w:type="dxa"/>
        <w:tblInd w:w="108" w:type="dxa"/>
        <w:tblLayout w:type="fixed"/>
        <w:tblLook w:val="0000" w:firstRow="0" w:lastRow="0" w:firstColumn="0" w:lastColumn="0" w:noHBand="0" w:noVBand="0"/>
      </w:tblPr>
      <w:tblGrid>
        <w:gridCol w:w="4844"/>
        <w:gridCol w:w="360"/>
        <w:gridCol w:w="4246"/>
      </w:tblGrid>
      <w:tr w:rsidR="009F53BA" w:rsidRPr="000A3C75" w:rsidTr="005A77BF">
        <w:tc>
          <w:tcPr>
            <w:tcW w:w="4844" w:type="dxa"/>
            <w:tcBorders>
              <w:top w:val="nil"/>
              <w:left w:val="nil"/>
              <w:bottom w:val="nil"/>
              <w:right w:val="nil"/>
            </w:tcBorders>
          </w:tcPr>
          <w:p w:rsidR="009F53BA" w:rsidRPr="000A3C75" w:rsidRDefault="009F53BA" w:rsidP="009F53BA">
            <w:pPr>
              <w:widowControl/>
              <w:spacing w:line="240" w:lineRule="auto"/>
              <w:rPr>
                <w:szCs w:val="24"/>
              </w:rPr>
            </w:pPr>
            <w:r w:rsidRPr="000A3C75">
              <w:rPr>
                <w:szCs w:val="24"/>
              </w:rPr>
              <w:t>In re:</w:t>
            </w:r>
          </w:p>
          <w:p w:rsidR="009F53BA" w:rsidRPr="000A3C75" w:rsidRDefault="009F53BA" w:rsidP="009F53BA">
            <w:pPr>
              <w:widowControl/>
              <w:spacing w:line="240" w:lineRule="auto"/>
              <w:rPr>
                <w:szCs w:val="24"/>
              </w:rPr>
            </w:pPr>
          </w:p>
          <w:p w:rsidR="009F53BA" w:rsidRPr="000A3C75" w:rsidRDefault="008F66EA" w:rsidP="009F53BA">
            <w:pPr>
              <w:widowControl/>
              <w:spacing w:line="240" w:lineRule="auto"/>
              <w:rPr>
                <w:szCs w:val="24"/>
              </w:rPr>
            </w:pPr>
            <w:r w:rsidRPr="000A3C75">
              <w:rPr>
                <w:szCs w:val="24"/>
              </w:rPr>
              <w:t>CIRILO E. CRUZ AND JUANA CRUZ</w:t>
            </w:r>
            <w:r w:rsidR="009F53BA" w:rsidRPr="000A3C75">
              <w:rPr>
                <w:szCs w:val="24"/>
              </w:rPr>
              <w:t>,</w:t>
            </w:r>
          </w:p>
          <w:p w:rsidR="009F53BA" w:rsidRPr="000A3C75" w:rsidRDefault="009F53BA" w:rsidP="009F53BA">
            <w:pPr>
              <w:widowControl/>
              <w:spacing w:line="240" w:lineRule="auto"/>
              <w:rPr>
                <w:szCs w:val="24"/>
              </w:rPr>
            </w:pPr>
          </w:p>
          <w:p w:rsidR="009F53BA" w:rsidRPr="000A3C75" w:rsidRDefault="009F53BA" w:rsidP="009F53BA">
            <w:pPr>
              <w:widowControl/>
              <w:spacing w:line="240" w:lineRule="auto"/>
              <w:rPr>
                <w:szCs w:val="24"/>
              </w:rPr>
            </w:pPr>
            <w:r w:rsidRPr="000A3C75">
              <w:rPr>
                <w:szCs w:val="24"/>
              </w:rPr>
              <w:tab/>
            </w:r>
            <w:r w:rsidRPr="000A3C75">
              <w:rPr>
                <w:szCs w:val="24"/>
              </w:rPr>
              <w:tab/>
              <w:t>Debtor</w:t>
            </w:r>
            <w:r w:rsidR="008F66EA" w:rsidRPr="000A3C75">
              <w:rPr>
                <w:szCs w:val="24"/>
              </w:rPr>
              <w:t>s.</w:t>
            </w:r>
          </w:p>
          <w:p w:rsidR="009F53BA" w:rsidRPr="000A3C75" w:rsidRDefault="009F53BA" w:rsidP="009F53BA">
            <w:pPr>
              <w:widowControl/>
              <w:spacing w:line="240" w:lineRule="auto"/>
              <w:rPr>
                <w:szCs w:val="24"/>
              </w:rPr>
            </w:pPr>
          </w:p>
          <w:p w:rsidR="009F53BA" w:rsidRPr="000A3C75" w:rsidRDefault="008F66EA" w:rsidP="009F53BA">
            <w:pPr>
              <w:widowControl/>
              <w:spacing w:line="240" w:lineRule="auto"/>
              <w:rPr>
                <w:szCs w:val="24"/>
              </w:rPr>
            </w:pPr>
            <w:r w:rsidRPr="000A3C75">
              <w:rPr>
                <w:szCs w:val="24"/>
              </w:rPr>
              <w:t>______________________________________</w:t>
            </w:r>
          </w:p>
          <w:p w:rsidR="00504595" w:rsidRPr="000A3C75" w:rsidRDefault="00504595" w:rsidP="009F53BA">
            <w:pPr>
              <w:widowControl/>
              <w:spacing w:line="240" w:lineRule="auto"/>
              <w:rPr>
                <w:szCs w:val="24"/>
              </w:rPr>
            </w:pPr>
          </w:p>
          <w:p w:rsidR="00504595" w:rsidRPr="000A3C75" w:rsidRDefault="008F66EA" w:rsidP="009F53BA">
            <w:pPr>
              <w:widowControl/>
              <w:spacing w:line="240" w:lineRule="auto"/>
              <w:rPr>
                <w:szCs w:val="24"/>
              </w:rPr>
            </w:pPr>
            <w:r w:rsidRPr="000A3C75">
              <w:rPr>
                <w:szCs w:val="24"/>
              </w:rPr>
              <w:t>CIRILO CRUZ,</w:t>
            </w:r>
          </w:p>
          <w:p w:rsidR="008F66EA" w:rsidRPr="000A3C75" w:rsidRDefault="008F66EA" w:rsidP="009F53BA">
            <w:pPr>
              <w:widowControl/>
              <w:spacing w:line="240" w:lineRule="auto"/>
              <w:rPr>
                <w:szCs w:val="24"/>
              </w:rPr>
            </w:pPr>
          </w:p>
          <w:p w:rsidR="008F66EA" w:rsidRPr="000A3C75" w:rsidRDefault="008F66EA" w:rsidP="008F66EA">
            <w:pPr>
              <w:widowControl/>
              <w:spacing w:line="240" w:lineRule="auto"/>
              <w:rPr>
                <w:szCs w:val="24"/>
              </w:rPr>
            </w:pPr>
            <w:r w:rsidRPr="000A3C75">
              <w:rPr>
                <w:szCs w:val="24"/>
              </w:rPr>
              <w:tab/>
            </w:r>
            <w:r w:rsidRPr="000A3C75">
              <w:rPr>
                <w:szCs w:val="24"/>
              </w:rPr>
              <w:tab/>
              <w:t>Plaintiff,</w:t>
            </w:r>
          </w:p>
          <w:p w:rsidR="008F66EA" w:rsidRPr="000A3C75" w:rsidRDefault="008F66EA" w:rsidP="009F53BA">
            <w:pPr>
              <w:widowControl/>
              <w:spacing w:line="240" w:lineRule="auto"/>
              <w:rPr>
                <w:szCs w:val="24"/>
              </w:rPr>
            </w:pPr>
          </w:p>
          <w:p w:rsidR="008F66EA" w:rsidRPr="000A3C75" w:rsidRDefault="008F66EA" w:rsidP="009F53BA">
            <w:pPr>
              <w:widowControl/>
              <w:spacing w:line="240" w:lineRule="auto"/>
              <w:rPr>
                <w:szCs w:val="24"/>
              </w:rPr>
            </w:pPr>
            <w:r w:rsidRPr="000A3C75">
              <w:rPr>
                <w:szCs w:val="24"/>
              </w:rPr>
              <w:t>v.</w:t>
            </w:r>
          </w:p>
          <w:p w:rsidR="008F66EA" w:rsidRPr="000A3C75" w:rsidRDefault="008F66EA" w:rsidP="009F53BA">
            <w:pPr>
              <w:widowControl/>
              <w:spacing w:line="240" w:lineRule="auto"/>
              <w:rPr>
                <w:szCs w:val="24"/>
              </w:rPr>
            </w:pPr>
          </w:p>
          <w:p w:rsidR="008F66EA" w:rsidRPr="000A3C75" w:rsidRDefault="008F66EA" w:rsidP="009F53BA">
            <w:pPr>
              <w:widowControl/>
              <w:spacing w:line="240" w:lineRule="auto"/>
              <w:rPr>
                <w:szCs w:val="24"/>
              </w:rPr>
            </w:pPr>
            <w:r w:rsidRPr="000A3C75">
              <w:rPr>
                <w:szCs w:val="24"/>
              </w:rPr>
              <w:t>AURORA LOAN SERVICES, LLC, et al.,</w:t>
            </w:r>
          </w:p>
          <w:p w:rsidR="008F66EA" w:rsidRPr="000A3C75" w:rsidRDefault="008F66EA" w:rsidP="009F53BA">
            <w:pPr>
              <w:widowControl/>
              <w:spacing w:line="240" w:lineRule="auto"/>
              <w:rPr>
                <w:szCs w:val="24"/>
              </w:rPr>
            </w:pPr>
          </w:p>
          <w:p w:rsidR="008F66EA" w:rsidRPr="000A3C75" w:rsidRDefault="008F66EA" w:rsidP="008F66EA">
            <w:pPr>
              <w:widowControl/>
              <w:spacing w:line="240" w:lineRule="auto"/>
              <w:rPr>
                <w:szCs w:val="24"/>
              </w:rPr>
            </w:pPr>
            <w:r w:rsidRPr="000A3C75">
              <w:rPr>
                <w:szCs w:val="24"/>
              </w:rPr>
              <w:tab/>
            </w:r>
            <w:r w:rsidRPr="000A3C75">
              <w:rPr>
                <w:szCs w:val="24"/>
              </w:rPr>
              <w:tab/>
              <w:t>Defendants.</w:t>
            </w:r>
          </w:p>
          <w:p w:rsidR="00504595" w:rsidRPr="000A3C75" w:rsidRDefault="00504595" w:rsidP="009F53BA">
            <w:pPr>
              <w:widowControl/>
              <w:spacing w:line="240" w:lineRule="auto"/>
              <w:rPr>
                <w:szCs w:val="24"/>
              </w:rPr>
            </w:pPr>
            <w:r w:rsidRPr="000A3C75">
              <w:rPr>
                <w:szCs w:val="24"/>
              </w:rPr>
              <w:t>______________________________________</w:t>
            </w:r>
          </w:p>
          <w:p w:rsidR="009F53BA" w:rsidRPr="000A3C75" w:rsidRDefault="009F53BA" w:rsidP="009F53BA">
            <w:pPr>
              <w:widowControl/>
              <w:spacing w:line="240" w:lineRule="auto"/>
              <w:rPr>
                <w:szCs w:val="24"/>
              </w:rPr>
            </w:pPr>
          </w:p>
        </w:tc>
        <w:tc>
          <w:tcPr>
            <w:tcW w:w="360" w:type="dxa"/>
          </w:tcPr>
          <w:p w:rsidR="009F53BA" w:rsidRPr="000A3C75" w:rsidRDefault="009F53BA" w:rsidP="009F53BA">
            <w:pPr>
              <w:widowControl/>
              <w:spacing w:line="240" w:lineRule="auto"/>
              <w:rPr>
                <w:szCs w:val="24"/>
              </w:rPr>
            </w:pPr>
            <w:r w:rsidRPr="000A3C75">
              <w:rPr>
                <w:szCs w:val="24"/>
              </w:rPr>
              <w:t>)</w:t>
            </w:r>
          </w:p>
          <w:p w:rsidR="009F53BA" w:rsidRPr="000A3C75" w:rsidRDefault="009F53BA" w:rsidP="009F53BA">
            <w:pPr>
              <w:widowControl/>
              <w:spacing w:line="240" w:lineRule="auto"/>
              <w:rPr>
                <w:szCs w:val="24"/>
              </w:rPr>
            </w:pPr>
            <w:r w:rsidRPr="000A3C75">
              <w:rPr>
                <w:szCs w:val="24"/>
              </w:rPr>
              <w:t>)</w:t>
            </w:r>
          </w:p>
          <w:p w:rsidR="009F53BA" w:rsidRPr="000A3C75" w:rsidRDefault="009F53BA" w:rsidP="009F53BA">
            <w:pPr>
              <w:widowControl/>
              <w:spacing w:line="240" w:lineRule="auto"/>
              <w:rPr>
                <w:szCs w:val="24"/>
              </w:rPr>
            </w:pPr>
            <w:r w:rsidRPr="000A3C75">
              <w:rPr>
                <w:szCs w:val="24"/>
              </w:rPr>
              <w:t>)</w:t>
            </w:r>
          </w:p>
          <w:p w:rsidR="009F53BA" w:rsidRPr="000A3C75" w:rsidRDefault="009F53BA" w:rsidP="009F53BA">
            <w:pPr>
              <w:widowControl/>
              <w:spacing w:line="240" w:lineRule="auto"/>
              <w:rPr>
                <w:szCs w:val="24"/>
              </w:rPr>
            </w:pPr>
            <w:r w:rsidRPr="000A3C75">
              <w:rPr>
                <w:szCs w:val="24"/>
              </w:rPr>
              <w:t>)</w:t>
            </w:r>
          </w:p>
          <w:p w:rsidR="009F53BA" w:rsidRPr="000A3C75" w:rsidRDefault="009F53BA" w:rsidP="009F53BA">
            <w:pPr>
              <w:widowControl/>
              <w:spacing w:line="240" w:lineRule="auto"/>
              <w:rPr>
                <w:szCs w:val="24"/>
              </w:rPr>
            </w:pPr>
            <w:r w:rsidRPr="000A3C75">
              <w:rPr>
                <w:szCs w:val="24"/>
              </w:rPr>
              <w:t>)</w:t>
            </w:r>
          </w:p>
          <w:p w:rsidR="009F53BA" w:rsidRPr="000A3C75" w:rsidRDefault="009F53BA" w:rsidP="009F53BA">
            <w:pPr>
              <w:widowControl/>
              <w:spacing w:line="240" w:lineRule="auto"/>
              <w:rPr>
                <w:szCs w:val="24"/>
              </w:rPr>
            </w:pPr>
            <w:r w:rsidRPr="000A3C75">
              <w:rPr>
                <w:szCs w:val="24"/>
              </w:rPr>
              <w:t>)</w:t>
            </w:r>
          </w:p>
          <w:p w:rsidR="009F53BA" w:rsidRPr="000A3C75" w:rsidRDefault="009F53BA" w:rsidP="009F53BA">
            <w:pPr>
              <w:widowControl/>
              <w:spacing w:line="240" w:lineRule="auto"/>
              <w:rPr>
                <w:szCs w:val="24"/>
              </w:rPr>
            </w:pPr>
            <w:r w:rsidRPr="000A3C75">
              <w:rPr>
                <w:szCs w:val="24"/>
              </w:rPr>
              <w:t>)</w:t>
            </w:r>
          </w:p>
          <w:p w:rsidR="009F53BA" w:rsidRPr="000A3C75" w:rsidRDefault="009F53BA" w:rsidP="009F53BA">
            <w:pPr>
              <w:widowControl/>
              <w:spacing w:line="240" w:lineRule="auto"/>
              <w:rPr>
                <w:szCs w:val="24"/>
              </w:rPr>
            </w:pPr>
            <w:r w:rsidRPr="000A3C75">
              <w:rPr>
                <w:szCs w:val="24"/>
              </w:rPr>
              <w:t>)</w:t>
            </w:r>
          </w:p>
          <w:p w:rsidR="009F53BA" w:rsidRPr="000A3C75" w:rsidRDefault="009F53BA" w:rsidP="009F53BA">
            <w:pPr>
              <w:widowControl/>
              <w:spacing w:line="240" w:lineRule="auto"/>
              <w:rPr>
                <w:szCs w:val="24"/>
              </w:rPr>
            </w:pPr>
            <w:r w:rsidRPr="000A3C75">
              <w:rPr>
                <w:szCs w:val="24"/>
              </w:rPr>
              <w:t>)</w:t>
            </w:r>
          </w:p>
          <w:p w:rsidR="009F53BA" w:rsidRPr="000A3C75" w:rsidRDefault="009F53BA" w:rsidP="009F53BA">
            <w:pPr>
              <w:widowControl/>
              <w:spacing w:line="240" w:lineRule="auto"/>
              <w:rPr>
                <w:szCs w:val="24"/>
              </w:rPr>
            </w:pPr>
            <w:r w:rsidRPr="000A3C75">
              <w:rPr>
                <w:szCs w:val="24"/>
              </w:rPr>
              <w:t>)</w:t>
            </w:r>
          </w:p>
          <w:p w:rsidR="009F53BA" w:rsidRPr="000A3C75" w:rsidRDefault="008F66EA" w:rsidP="009F53BA">
            <w:pPr>
              <w:widowControl/>
              <w:spacing w:line="240" w:lineRule="auto"/>
              <w:rPr>
                <w:szCs w:val="24"/>
              </w:rPr>
            </w:pPr>
            <w:r w:rsidRPr="000A3C75">
              <w:rPr>
                <w:szCs w:val="24"/>
              </w:rPr>
              <w:t>))))))</w:t>
            </w:r>
            <w:r w:rsidR="009F53BA" w:rsidRPr="000A3C75">
              <w:rPr>
                <w:szCs w:val="24"/>
              </w:rPr>
              <w:t>)</w:t>
            </w:r>
          </w:p>
          <w:p w:rsidR="009F53BA" w:rsidRPr="000A3C75" w:rsidRDefault="009F53BA" w:rsidP="009F53BA">
            <w:pPr>
              <w:widowControl/>
              <w:spacing w:line="240" w:lineRule="auto"/>
              <w:rPr>
                <w:szCs w:val="24"/>
              </w:rPr>
            </w:pPr>
            <w:r w:rsidRPr="000A3C75">
              <w:rPr>
                <w:szCs w:val="24"/>
              </w:rPr>
              <w:t>)</w:t>
            </w:r>
          </w:p>
        </w:tc>
        <w:tc>
          <w:tcPr>
            <w:tcW w:w="4246" w:type="dxa"/>
          </w:tcPr>
          <w:p w:rsidR="009F53BA" w:rsidRPr="000A3C75" w:rsidRDefault="009F53BA" w:rsidP="009F53BA">
            <w:pPr>
              <w:widowControl/>
              <w:spacing w:line="240" w:lineRule="auto"/>
              <w:rPr>
                <w:szCs w:val="24"/>
              </w:rPr>
            </w:pPr>
            <w:r w:rsidRPr="000A3C75">
              <w:rPr>
                <w:szCs w:val="24"/>
              </w:rPr>
              <w:t xml:space="preserve">BANKRUPTCY NO:  </w:t>
            </w:r>
            <w:r w:rsidR="008F66EA" w:rsidRPr="000A3C75">
              <w:rPr>
                <w:szCs w:val="24"/>
              </w:rPr>
              <w:t>11-01133-MM</w:t>
            </w:r>
          </w:p>
          <w:p w:rsidR="009F53BA" w:rsidRPr="000A3C75" w:rsidRDefault="009F53BA" w:rsidP="009F53BA">
            <w:pPr>
              <w:widowControl/>
              <w:spacing w:line="240" w:lineRule="auto"/>
              <w:rPr>
                <w:szCs w:val="24"/>
              </w:rPr>
            </w:pPr>
          </w:p>
          <w:p w:rsidR="009F53BA" w:rsidRPr="000A3C75" w:rsidRDefault="009F53BA" w:rsidP="009F53BA">
            <w:pPr>
              <w:widowControl/>
              <w:spacing w:line="240" w:lineRule="auto"/>
              <w:rPr>
                <w:szCs w:val="24"/>
              </w:rPr>
            </w:pPr>
            <w:r w:rsidRPr="000A3C75">
              <w:rPr>
                <w:szCs w:val="24"/>
              </w:rPr>
              <w:t xml:space="preserve">CHAPTER:  </w:t>
            </w:r>
            <w:r w:rsidR="008F66EA" w:rsidRPr="000A3C75">
              <w:rPr>
                <w:szCs w:val="24"/>
              </w:rPr>
              <w:t>13</w:t>
            </w:r>
          </w:p>
          <w:p w:rsidR="009F53BA" w:rsidRPr="000A3C75" w:rsidRDefault="009F53BA" w:rsidP="009F53BA">
            <w:pPr>
              <w:widowControl/>
              <w:spacing w:line="240" w:lineRule="auto"/>
              <w:rPr>
                <w:szCs w:val="24"/>
              </w:rPr>
            </w:pPr>
          </w:p>
          <w:p w:rsidR="008F66EA" w:rsidRPr="000A3C75" w:rsidRDefault="008F66EA" w:rsidP="009F53BA">
            <w:pPr>
              <w:widowControl/>
              <w:spacing w:line="240" w:lineRule="auto"/>
              <w:rPr>
                <w:szCs w:val="24"/>
              </w:rPr>
            </w:pPr>
            <w:r w:rsidRPr="000A3C75">
              <w:rPr>
                <w:szCs w:val="24"/>
              </w:rPr>
              <w:t>ADV. PROC. 11-90116-MM</w:t>
            </w:r>
          </w:p>
          <w:p w:rsidR="008F66EA" w:rsidRPr="000A3C75" w:rsidRDefault="008F66EA" w:rsidP="009F53BA">
            <w:pPr>
              <w:widowControl/>
              <w:spacing w:line="240" w:lineRule="auto"/>
              <w:rPr>
                <w:szCs w:val="24"/>
              </w:rPr>
            </w:pPr>
          </w:p>
          <w:p w:rsidR="009F53BA" w:rsidRPr="000A3C75" w:rsidRDefault="008F66EA" w:rsidP="009F53BA">
            <w:pPr>
              <w:widowControl/>
              <w:spacing w:line="240" w:lineRule="auto"/>
              <w:rPr>
                <w:szCs w:val="24"/>
              </w:rPr>
            </w:pPr>
            <w:r w:rsidRPr="000A3C75">
              <w:rPr>
                <w:szCs w:val="24"/>
              </w:rPr>
              <w:t>MEMORANDUM DECISION</w:t>
            </w:r>
          </w:p>
          <w:p w:rsidR="009F53BA" w:rsidRPr="000A3C75" w:rsidRDefault="009F53BA" w:rsidP="009F53BA">
            <w:pPr>
              <w:widowControl/>
              <w:spacing w:line="240" w:lineRule="auto"/>
              <w:rPr>
                <w:szCs w:val="24"/>
              </w:rPr>
            </w:pPr>
          </w:p>
          <w:p w:rsidR="009F53BA" w:rsidRPr="000A3C75" w:rsidRDefault="009F53BA" w:rsidP="009F53BA">
            <w:pPr>
              <w:widowControl/>
              <w:spacing w:line="240" w:lineRule="auto"/>
              <w:rPr>
                <w:szCs w:val="24"/>
              </w:rPr>
            </w:pPr>
            <w:r w:rsidRPr="000A3C75">
              <w:rPr>
                <w:szCs w:val="24"/>
              </w:rPr>
              <w:t>DATE:</w:t>
            </w:r>
            <w:r w:rsidRPr="000A3C75">
              <w:rPr>
                <w:szCs w:val="24"/>
              </w:rPr>
              <w:tab/>
            </w:r>
            <w:r w:rsidRPr="000A3C75">
              <w:rPr>
                <w:szCs w:val="24"/>
              </w:rPr>
              <w:tab/>
            </w:r>
            <w:r w:rsidR="00DF2DD8" w:rsidRPr="000A3C75">
              <w:rPr>
                <w:szCs w:val="24"/>
              </w:rPr>
              <w:t>April 25, 2013</w:t>
            </w:r>
          </w:p>
          <w:p w:rsidR="009F53BA" w:rsidRPr="000A3C75" w:rsidRDefault="009F53BA" w:rsidP="009F53BA">
            <w:pPr>
              <w:widowControl/>
              <w:spacing w:line="240" w:lineRule="auto"/>
              <w:rPr>
                <w:szCs w:val="24"/>
              </w:rPr>
            </w:pPr>
            <w:r w:rsidRPr="000A3C75">
              <w:rPr>
                <w:szCs w:val="24"/>
              </w:rPr>
              <w:t>TIME:</w:t>
            </w:r>
            <w:r w:rsidRPr="000A3C75">
              <w:rPr>
                <w:szCs w:val="24"/>
              </w:rPr>
              <w:tab/>
            </w:r>
            <w:r w:rsidRPr="000A3C75">
              <w:rPr>
                <w:szCs w:val="24"/>
              </w:rPr>
              <w:tab/>
            </w:r>
            <w:r w:rsidR="001D06A2">
              <w:rPr>
                <w:szCs w:val="24"/>
              </w:rPr>
              <w:t>3:00 P</w:t>
            </w:r>
            <w:r w:rsidR="008F66EA" w:rsidRPr="000A3C75">
              <w:rPr>
                <w:szCs w:val="24"/>
              </w:rPr>
              <w:t>.M.</w:t>
            </w:r>
          </w:p>
          <w:p w:rsidR="009F53BA" w:rsidRPr="000A3C75" w:rsidRDefault="009F53BA" w:rsidP="009F53BA">
            <w:pPr>
              <w:widowControl/>
              <w:spacing w:line="240" w:lineRule="auto"/>
              <w:rPr>
                <w:szCs w:val="24"/>
              </w:rPr>
            </w:pPr>
            <w:r w:rsidRPr="000A3C75">
              <w:rPr>
                <w:szCs w:val="24"/>
              </w:rPr>
              <w:t>CRTRM:</w:t>
            </w:r>
            <w:r w:rsidRPr="000A3C75">
              <w:rPr>
                <w:szCs w:val="24"/>
              </w:rPr>
              <w:tab/>
            </w:r>
            <w:r w:rsidR="008F66EA" w:rsidRPr="000A3C75">
              <w:rPr>
                <w:szCs w:val="24"/>
              </w:rPr>
              <w:t>1</w:t>
            </w:r>
          </w:p>
          <w:p w:rsidR="009F53BA" w:rsidRPr="000A3C75" w:rsidRDefault="009F53BA" w:rsidP="009F53BA">
            <w:pPr>
              <w:widowControl/>
              <w:spacing w:line="240" w:lineRule="auto"/>
              <w:rPr>
                <w:szCs w:val="24"/>
              </w:rPr>
            </w:pPr>
          </w:p>
          <w:p w:rsidR="009F53BA" w:rsidRPr="000A3C75" w:rsidRDefault="009F53BA" w:rsidP="009F53BA">
            <w:pPr>
              <w:widowControl/>
              <w:spacing w:line="240" w:lineRule="auto"/>
              <w:rPr>
                <w:szCs w:val="24"/>
              </w:rPr>
            </w:pPr>
            <w:r w:rsidRPr="000A3C75">
              <w:rPr>
                <w:szCs w:val="24"/>
              </w:rPr>
              <w:t>JUDGE:</w:t>
            </w:r>
            <w:r w:rsidRPr="000A3C75">
              <w:rPr>
                <w:szCs w:val="24"/>
              </w:rPr>
              <w:tab/>
              <w:t>Margaret M. Mann</w:t>
            </w:r>
          </w:p>
          <w:p w:rsidR="009F53BA" w:rsidRPr="000A3C75" w:rsidRDefault="009F53BA" w:rsidP="009F53BA">
            <w:pPr>
              <w:widowControl/>
              <w:spacing w:line="240" w:lineRule="auto"/>
              <w:rPr>
                <w:szCs w:val="24"/>
              </w:rPr>
            </w:pPr>
          </w:p>
        </w:tc>
      </w:tr>
    </w:tbl>
    <w:p w:rsidR="009F53BA" w:rsidRPr="000A3C75" w:rsidRDefault="009F53BA" w:rsidP="009F53BA">
      <w:pPr>
        <w:widowControl/>
        <w:spacing w:line="480" w:lineRule="exact"/>
        <w:rPr>
          <w:szCs w:val="24"/>
        </w:rPr>
      </w:pPr>
    </w:p>
    <w:p w:rsidR="009F53BA" w:rsidRPr="000A3C75" w:rsidRDefault="009F53BA" w:rsidP="009F53BA">
      <w:pPr>
        <w:widowControl/>
        <w:spacing w:line="480" w:lineRule="exact"/>
        <w:rPr>
          <w:szCs w:val="24"/>
        </w:rPr>
      </w:pPr>
    </w:p>
    <w:p w:rsidR="009F53BA" w:rsidRPr="000A3C75" w:rsidRDefault="009F53BA" w:rsidP="009F53BA">
      <w:pPr>
        <w:widowControl/>
        <w:spacing w:line="240" w:lineRule="auto"/>
        <w:rPr>
          <w:szCs w:val="24"/>
        </w:rPr>
      </w:pPr>
      <w:r w:rsidRPr="000A3C75">
        <w:rPr>
          <w:szCs w:val="24"/>
        </w:rPr>
        <w:br w:type="page"/>
      </w:r>
    </w:p>
    <w:p w:rsidR="00D5037B" w:rsidRPr="000A3C75" w:rsidRDefault="00D5037B" w:rsidP="00D5037B">
      <w:pPr>
        <w:pStyle w:val="ListParagraph"/>
        <w:keepNext/>
        <w:widowControl/>
        <w:numPr>
          <w:ilvl w:val="0"/>
          <w:numId w:val="16"/>
        </w:numPr>
        <w:tabs>
          <w:tab w:val="num" w:pos="720"/>
        </w:tabs>
        <w:spacing w:line="480" w:lineRule="exact"/>
        <w:outlineLvl w:val="0"/>
        <w:rPr>
          <w:b/>
          <w:szCs w:val="24"/>
          <w:u w:val="single"/>
        </w:rPr>
      </w:pPr>
      <w:r w:rsidRPr="000A3C75">
        <w:rPr>
          <w:b/>
          <w:szCs w:val="24"/>
          <w:u w:val="single"/>
        </w:rPr>
        <w:lastRenderedPageBreak/>
        <w:t>INTRODUCTION</w:t>
      </w:r>
    </w:p>
    <w:p w:rsidR="00D5037B" w:rsidRPr="000A3C75" w:rsidRDefault="00D5037B" w:rsidP="00D5037B">
      <w:pPr>
        <w:widowControl/>
        <w:spacing w:line="480" w:lineRule="exact"/>
        <w:ind w:firstLine="720"/>
        <w:rPr>
          <w:szCs w:val="24"/>
        </w:rPr>
      </w:pPr>
      <w:r w:rsidRPr="000A3C75">
        <w:rPr>
          <w:szCs w:val="24"/>
          <w:lang w:val="en-CA"/>
        </w:rPr>
        <w:t xml:space="preserve">Defendants </w:t>
      </w:r>
      <w:r w:rsidRPr="000A3C75">
        <w:rPr>
          <w:szCs w:val="24"/>
        </w:rPr>
        <w:t xml:space="preserve">Aurora Loan Services ("Aurora"), Mortgage Electronic Registration Systems, Inc. ("MERS"), and ING Bank, F.S.B. ("ING") (collectively "Defendants") brought separate motions to dismiss and for summary judgment (collectively "Motion") requesting the Court reconsider its earlier decision in this case, </w:t>
      </w:r>
      <w:r w:rsidRPr="000A3C75">
        <w:rPr>
          <w:i/>
          <w:szCs w:val="24"/>
        </w:rPr>
        <w:t>Cruz v. Aurora Loan Servs. LLC (In re Cruz),</w:t>
      </w:r>
      <w:r w:rsidRPr="000A3C75">
        <w:rPr>
          <w:szCs w:val="24"/>
        </w:rPr>
        <w:t xml:space="preserve"> 457 B.R. 806 (Bankr. S.D. Cal. 2011) ("</w:t>
      </w:r>
      <w:r w:rsidRPr="000A3C75">
        <w:rPr>
          <w:i/>
          <w:iCs/>
          <w:szCs w:val="24"/>
        </w:rPr>
        <w:t>Cruz I</w:t>
      </w:r>
      <w:r w:rsidRPr="000A3C75">
        <w:rPr>
          <w:szCs w:val="24"/>
        </w:rPr>
        <w:t xml:space="preserve">"). </w:t>
      </w:r>
      <w:r w:rsidRPr="000A3C75">
        <w:rPr>
          <w:i/>
          <w:szCs w:val="24"/>
        </w:rPr>
        <w:t xml:space="preserve">Cruz I </w:t>
      </w:r>
      <w:r w:rsidRPr="000A3C75">
        <w:rPr>
          <w:szCs w:val="24"/>
        </w:rPr>
        <w:t>granted in part and denied in part Defendants' motions to dismiss an earlier version of the complaint in this action</w:t>
      </w:r>
      <w:r w:rsidR="001D06A2">
        <w:rPr>
          <w:szCs w:val="24"/>
        </w:rPr>
        <w:t>,</w:t>
      </w:r>
      <w:r w:rsidRPr="000A3C75">
        <w:rPr>
          <w:szCs w:val="24"/>
        </w:rPr>
        <w:t xml:space="preserve"> finding that </w:t>
      </w:r>
      <w:r w:rsidRPr="000A3C75">
        <w:rPr>
          <w:szCs w:val="24"/>
          <w:lang w:val="en-CA"/>
        </w:rPr>
        <w:fldChar w:fldCharType="begin"/>
      </w:r>
      <w:r w:rsidRPr="000A3C75">
        <w:rPr>
          <w:szCs w:val="24"/>
          <w:lang w:val="en-CA"/>
        </w:rPr>
        <w:instrText xml:space="preserve"> SEQ CHAPTER \h \r 1</w:instrText>
      </w:r>
      <w:r w:rsidRPr="000A3C75">
        <w:rPr>
          <w:szCs w:val="24"/>
          <w:lang w:val="en-CA"/>
        </w:rPr>
        <w:fldChar w:fldCharType="end"/>
      </w:r>
      <w:r w:rsidRPr="000A3C75">
        <w:rPr>
          <w:szCs w:val="24"/>
          <w:lang w:val="en-CA"/>
        </w:rPr>
        <w:t xml:space="preserve">ING's </w:t>
      </w:r>
      <w:r w:rsidRPr="000A3C75">
        <w:rPr>
          <w:szCs w:val="24"/>
        </w:rPr>
        <w:t>failure, as the foreclosing beneficiary, to record its beneficial interest in the deed of trust</w:t>
      </w:r>
      <w:r w:rsidRPr="000A3C75">
        <w:rPr>
          <w:rStyle w:val="FootnoteReference"/>
          <w:szCs w:val="24"/>
        </w:rPr>
        <w:footnoteReference w:id="1"/>
      </w:r>
      <w:r w:rsidRPr="000A3C75">
        <w:rPr>
          <w:szCs w:val="24"/>
        </w:rPr>
        <w:t xml:space="preserve"> invalidated its trustee's sale of the home of debtor Cirilo Cruz</w:t>
      </w:r>
      <w:r w:rsidRPr="000A3C75">
        <w:rPr>
          <w:szCs w:val="24"/>
          <w:vertAlign w:val="superscript"/>
        </w:rPr>
        <w:footnoteReference w:id="2"/>
      </w:r>
      <w:r w:rsidRPr="000A3C75">
        <w:rPr>
          <w:szCs w:val="24"/>
        </w:rPr>
        <w:t xml:space="preserve"> ("Debtor") under Cal</w:t>
      </w:r>
      <w:r w:rsidR="00357C01">
        <w:rPr>
          <w:szCs w:val="24"/>
        </w:rPr>
        <w:t xml:space="preserve">. </w:t>
      </w:r>
      <w:r w:rsidRPr="000A3C75">
        <w:rPr>
          <w:szCs w:val="24"/>
        </w:rPr>
        <w:t>Civ</w:t>
      </w:r>
      <w:r w:rsidR="00357C01">
        <w:rPr>
          <w:szCs w:val="24"/>
        </w:rPr>
        <w:t xml:space="preserve">. </w:t>
      </w:r>
      <w:r w:rsidRPr="000A3C75">
        <w:rPr>
          <w:szCs w:val="24"/>
        </w:rPr>
        <w:t>Code §</w:t>
      </w:r>
      <w:r w:rsidR="00A131A1">
        <w:rPr>
          <w:szCs w:val="24"/>
        </w:rPr>
        <w:t> </w:t>
      </w:r>
      <w:r w:rsidRPr="000A3C75">
        <w:rPr>
          <w:szCs w:val="24"/>
        </w:rPr>
        <w:t>2932.5.</w:t>
      </w:r>
      <w:r w:rsidRPr="000A3C75">
        <w:rPr>
          <w:szCs w:val="24"/>
          <w:vertAlign w:val="superscript"/>
        </w:rPr>
        <w:footnoteReference w:id="3"/>
      </w:r>
      <w:r w:rsidR="001B64D8">
        <w:rPr>
          <w:szCs w:val="24"/>
        </w:rPr>
        <w:t xml:space="preserve"> MERS, though the initial beneficiary, no longer had an interest as beneficiary at the time of the foreclosure. </w:t>
      </w:r>
      <w:r w:rsidRPr="000A3C75">
        <w:rPr>
          <w:szCs w:val="24"/>
        </w:rPr>
        <w:t xml:space="preserve"> </w:t>
      </w:r>
    </w:p>
    <w:p w:rsidR="006A167C" w:rsidRDefault="00D5037B" w:rsidP="004D12B8">
      <w:pPr>
        <w:widowControl/>
        <w:spacing w:line="480" w:lineRule="exact"/>
        <w:ind w:firstLine="720"/>
        <w:rPr>
          <w:i/>
          <w:szCs w:val="24"/>
        </w:rPr>
      </w:pPr>
      <w:r w:rsidRPr="000A3C75">
        <w:rPr>
          <w:szCs w:val="24"/>
        </w:rPr>
        <w:t xml:space="preserve">This Motion requires this Court to consider, for the third time, the scope of this statute and whether it applies to deeds of trust as well as mortgages. Twice previously, this Court held that § 2932.5 applies to deeds of trust, and a </w:t>
      </w:r>
      <w:r w:rsidR="006A167C">
        <w:rPr>
          <w:szCs w:val="24"/>
        </w:rPr>
        <w:t>few other authorities concur</w:t>
      </w:r>
      <w:r w:rsidRPr="000A3C75">
        <w:rPr>
          <w:szCs w:val="24"/>
        </w:rPr>
        <w:t>.</w:t>
      </w:r>
      <w:r w:rsidRPr="000A3C75">
        <w:rPr>
          <w:szCs w:val="24"/>
          <w:vertAlign w:val="superscript"/>
        </w:rPr>
        <w:footnoteReference w:id="4"/>
      </w:r>
      <w:r w:rsidR="00AA492C">
        <w:rPr>
          <w:szCs w:val="24"/>
        </w:rPr>
        <w:t xml:space="preserve"> Most </w:t>
      </w:r>
      <w:r w:rsidR="00BF0631" w:rsidRPr="000A3C75">
        <w:rPr>
          <w:szCs w:val="24"/>
        </w:rPr>
        <w:t>cases</w:t>
      </w:r>
      <w:r w:rsidRPr="000A3C75">
        <w:rPr>
          <w:szCs w:val="24"/>
        </w:rPr>
        <w:t xml:space="preserve"> nevertheless find § </w:t>
      </w:r>
      <w:r w:rsidR="006A167C">
        <w:rPr>
          <w:szCs w:val="24"/>
        </w:rPr>
        <w:t>2932.5 only applies to mortgages</w:t>
      </w:r>
      <w:r w:rsidRPr="000A3C75">
        <w:rPr>
          <w:szCs w:val="24"/>
        </w:rPr>
        <w:t>.</w:t>
      </w:r>
      <w:r w:rsidR="001D06A2" w:rsidRPr="000A3C75">
        <w:rPr>
          <w:rStyle w:val="FootnoteReference"/>
          <w:szCs w:val="24"/>
        </w:rPr>
        <w:footnoteReference w:id="5"/>
      </w:r>
      <w:r w:rsidR="001D06A2">
        <w:rPr>
          <w:szCs w:val="24"/>
        </w:rPr>
        <w:t xml:space="preserve"> </w:t>
      </w:r>
      <w:r w:rsidR="008925B0">
        <w:rPr>
          <w:szCs w:val="24"/>
        </w:rPr>
        <w:t>Despite this</w:t>
      </w:r>
      <w:r w:rsidRPr="000A3C75">
        <w:rPr>
          <w:szCs w:val="24"/>
        </w:rPr>
        <w:t xml:space="preserve">, the law on the scope of </w:t>
      </w:r>
      <w:r w:rsidRPr="000A3C75">
        <w:rPr>
          <w:szCs w:val="24"/>
        </w:rPr>
        <w:lastRenderedPageBreak/>
        <w:t>§</w:t>
      </w:r>
      <w:r w:rsidR="00623492">
        <w:rPr>
          <w:szCs w:val="24"/>
        </w:rPr>
        <w:t> </w:t>
      </w:r>
      <w:r w:rsidRPr="000A3C75">
        <w:rPr>
          <w:szCs w:val="24"/>
        </w:rPr>
        <w:t>2932.5 remains unsettled</w:t>
      </w:r>
      <w:r w:rsidR="00FA00F0">
        <w:rPr>
          <w:szCs w:val="24"/>
        </w:rPr>
        <w:t xml:space="preserve"> at least in the federal courts</w:t>
      </w:r>
      <w:r w:rsidR="00DB266B" w:rsidRPr="000A3C75">
        <w:rPr>
          <w:szCs w:val="24"/>
        </w:rPr>
        <w:t>, as</w:t>
      </w:r>
      <w:r w:rsidRPr="000A3C75">
        <w:rPr>
          <w:szCs w:val="24"/>
        </w:rPr>
        <w:t xml:space="preserve"> was recognized in the most recent and </w:t>
      </w:r>
      <w:r w:rsidR="008925B0">
        <w:rPr>
          <w:szCs w:val="24"/>
        </w:rPr>
        <w:t>thorough</w:t>
      </w:r>
      <w:r w:rsidR="00127ADF">
        <w:rPr>
          <w:szCs w:val="24"/>
        </w:rPr>
        <w:t xml:space="preserve"> </w:t>
      </w:r>
      <w:r w:rsidR="001D06A2">
        <w:rPr>
          <w:szCs w:val="24"/>
        </w:rPr>
        <w:t>state court case on the issue</w:t>
      </w:r>
      <w:r w:rsidR="00E77038">
        <w:rPr>
          <w:szCs w:val="24"/>
        </w:rPr>
        <w:t>,</w:t>
      </w:r>
      <w:r w:rsidR="00BF43A2">
        <w:rPr>
          <w:szCs w:val="24"/>
        </w:rPr>
        <w:t xml:space="preserve"> </w:t>
      </w:r>
      <w:r w:rsidR="00BF43A2" w:rsidRPr="000A3C75">
        <w:rPr>
          <w:bCs/>
          <w:i/>
          <w:szCs w:val="24"/>
        </w:rPr>
        <w:t>Haynes</w:t>
      </w:r>
      <w:r w:rsidR="00BF43A2">
        <w:rPr>
          <w:bCs/>
          <w:i/>
          <w:szCs w:val="24"/>
        </w:rPr>
        <w:t xml:space="preserve">, </w:t>
      </w:r>
      <w:r w:rsidR="00BF43A2">
        <w:rPr>
          <w:bCs/>
          <w:szCs w:val="24"/>
        </w:rPr>
        <w:t>205 Cal.App. 4th at</w:t>
      </w:r>
      <w:r w:rsidR="00BF43A2" w:rsidRPr="000A3C75">
        <w:rPr>
          <w:szCs w:val="24"/>
        </w:rPr>
        <w:t xml:space="preserve"> 337 n. 7.</w:t>
      </w:r>
      <w:r w:rsidR="00127ADF" w:rsidRPr="000A3C75">
        <w:rPr>
          <w:rStyle w:val="FootnoteReference"/>
          <w:szCs w:val="24"/>
        </w:rPr>
        <w:footnoteReference w:id="6"/>
      </w:r>
      <w:r w:rsidR="00127ADF">
        <w:rPr>
          <w:szCs w:val="24"/>
        </w:rPr>
        <w:t xml:space="preserve"> </w:t>
      </w:r>
      <w:r w:rsidR="001D06A2">
        <w:rPr>
          <w:i/>
          <w:szCs w:val="24"/>
        </w:rPr>
        <w:t xml:space="preserve"> </w:t>
      </w:r>
    </w:p>
    <w:p w:rsidR="008925B0" w:rsidRDefault="008E754E" w:rsidP="004D12B8">
      <w:pPr>
        <w:widowControl/>
        <w:spacing w:line="480" w:lineRule="exact"/>
        <w:ind w:firstLine="720"/>
        <w:rPr>
          <w:i/>
          <w:szCs w:val="24"/>
        </w:rPr>
      </w:pPr>
      <w:r w:rsidRPr="000A3C75">
        <w:rPr>
          <w:szCs w:val="24"/>
        </w:rPr>
        <w:t xml:space="preserve">As a federal court, this Court must follow the intermediate </w:t>
      </w:r>
      <w:r>
        <w:rPr>
          <w:szCs w:val="24"/>
        </w:rPr>
        <w:t xml:space="preserve">state court </w:t>
      </w:r>
      <w:r w:rsidRPr="000A3C75">
        <w:rPr>
          <w:szCs w:val="24"/>
        </w:rPr>
        <w:t>decisions unless it determines that there is convincing evidence that the California</w:t>
      </w:r>
      <w:r>
        <w:rPr>
          <w:szCs w:val="24"/>
        </w:rPr>
        <w:t xml:space="preserve"> Supreme Court would </w:t>
      </w:r>
      <w:r w:rsidR="00127ADF">
        <w:rPr>
          <w:szCs w:val="24"/>
        </w:rPr>
        <w:t>decide differently</w:t>
      </w:r>
      <w:r>
        <w:rPr>
          <w:szCs w:val="24"/>
        </w:rPr>
        <w:t xml:space="preserve">. </w:t>
      </w:r>
      <w:r w:rsidRPr="000A3C75">
        <w:rPr>
          <w:i/>
          <w:szCs w:val="24"/>
        </w:rPr>
        <w:t xml:space="preserve">Lewis v. Tel. Employees Credit Union, </w:t>
      </w:r>
      <w:r w:rsidRPr="000A3C75">
        <w:rPr>
          <w:szCs w:val="24"/>
        </w:rPr>
        <w:t xml:space="preserve">87 F.3d 1537, 1545 (9th Cir. 1996). That </w:t>
      </w:r>
      <w:r>
        <w:rPr>
          <w:szCs w:val="24"/>
        </w:rPr>
        <w:t xml:space="preserve">the </w:t>
      </w:r>
      <w:r w:rsidRPr="000A3C75">
        <w:rPr>
          <w:szCs w:val="24"/>
        </w:rPr>
        <w:t>California Supreme Court has denied review of</w:t>
      </w:r>
      <w:r>
        <w:rPr>
          <w:szCs w:val="24"/>
        </w:rPr>
        <w:t xml:space="preserve">, and also declined to depublish, </w:t>
      </w:r>
      <w:r w:rsidRPr="000A3C75">
        <w:rPr>
          <w:szCs w:val="24"/>
        </w:rPr>
        <w:t xml:space="preserve">three recent state court decisions interpreting § 2932.5 </w:t>
      </w:r>
      <w:r w:rsidR="00E77038">
        <w:rPr>
          <w:szCs w:val="24"/>
        </w:rPr>
        <w:t>as applicable only to mortgages</w:t>
      </w:r>
      <w:r>
        <w:rPr>
          <w:szCs w:val="24"/>
        </w:rPr>
        <w:t>,</w:t>
      </w:r>
      <w:r w:rsidRPr="000A3C75">
        <w:rPr>
          <w:szCs w:val="24"/>
        </w:rPr>
        <w:t xml:space="preserve"> </w:t>
      </w:r>
      <w:r w:rsidR="00D25412">
        <w:rPr>
          <w:szCs w:val="24"/>
        </w:rPr>
        <w:t>weighs against the Court finding</w:t>
      </w:r>
      <w:r w:rsidRPr="000A3C75">
        <w:rPr>
          <w:szCs w:val="24"/>
        </w:rPr>
        <w:t xml:space="preserve"> convincing evidence</w:t>
      </w:r>
      <w:r w:rsidR="00E77038">
        <w:rPr>
          <w:szCs w:val="24"/>
        </w:rPr>
        <w:t xml:space="preserve"> that the statute also applies to deeds of trust</w:t>
      </w:r>
      <w:r w:rsidRPr="000A3C75">
        <w:rPr>
          <w:szCs w:val="24"/>
        </w:rPr>
        <w:t>. Defendants acknowledge, however, the absence of controlling authority</w:t>
      </w:r>
      <w:r>
        <w:rPr>
          <w:szCs w:val="24"/>
        </w:rPr>
        <w:t>,</w:t>
      </w:r>
      <w:r w:rsidRPr="000A3C75">
        <w:rPr>
          <w:szCs w:val="24"/>
        </w:rPr>
        <w:t xml:space="preserve"> and also that the California Supreme Court's denial of review does not obviate the Court's obligation to assess all of the authorities on the issue. Motion to Dismiss Hr'g Tr., Doc</w:t>
      </w:r>
      <w:r w:rsidR="00293E92">
        <w:rPr>
          <w:szCs w:val="24"/>
        </w:rPr>
        <w:t>ket</w:t>
      </w:r>
      <w:r w:rsidRPr="000A3C75">
        <w:rPr>
          <w:szCs w:val="24"/>
        </w:rPr>
        <w:t xml:space="preserve"> #89, at 4-5, February 21, 2013 (John Campbell); s</w:t>
      </w:r>
      <w:r w:rsidRPr="000A3C75">
        <w:rPr>
          <w:i/>
          <w:iCs/>
          <w:szCs w:val="24"/>
        </w:rPr>
        <w:t>ee also United Bhd. of Carpenters v. NLRB</w:t>
      </w:r>
      <w:r w:rsidRPr="000A3C75">
        <w:rPr>
          <w:szCs w:val="24"/>
        </w:rPr>
        <w:t xml:space="preserve">, 540 F.3d 957, 970 n.12 (9th Cir. 2008) (state court decisions subject to convincing evidence standard even </w:t>
      </w:r>
      <w:r w:rsidRPr="00746006">
        <w:rPr>
          <w:szCs w:val="24"/>
        </w:rPr>
        <w:t>where</w:t>
      </w:r>
      <w:r w:rsidR="00AE1B92" w:rsidRPr="00746006">
        <w:rPr>
          <w:szCs w:val="24"/>
        </w:rPr>
        <w:t xml:space="preserve"> </w:t>
      </w:r>
      <w:r w:rsidRPr="000A3C75">
        <w:rPr>
          <w:szCs w:val="24"/>
        </w:rPr>
        <w:t>state high court review is denied unless the denial of review occurred in the case at hand).</w:t>
      </w:r>
    </w:p>
    <w:p w:rsidR="00611140" w:rsidRDefault="00D5037B" w:rsidP="00611140">
      <w:pPr>
        <w:widowControl/>
        <w:spacing w:line="480" w:lineRule="exact"/>
        <w:ind w:firstLine="720"/>
        <w:rPr>
          <w:szCs w:val="24"/>
        </w:rPr>
      </w:pPr>
      <w:r w:rsidRPr="000A3C75">
        <w:rPr>
          <w:szCs w:val="24"/>
        </w:rPr>
        <w:t xml:space="preserve">The Motion asks this Court to </w:t>
      </w:r>
      <w:r w:rsidR="008E754E">
        <w:rPr>
          <w:szCs w:val="24"/>
        </w:rPr>
        <w:t xml:space="preserve">hold </w:t>
      </w:r>
      <w:r w:rsidRPr="000A3C75">
        <w:rPr>
          <w:szCs w:val="24"/>
        </w:rPr>
        <w:t>that § 2932.5 does not apply to deeds of trust</w:t>
      </w:r>
      <w:r w:rsidR="008E754E">
        <w:rPr>
          <w:szCs w:val="24"/>
        </w:rPr>
        <w:t xml:space="preserve"> for two primary reasons</w:t>
      </w:r>
      <w:r w:rsidRPr="000A3C75">
        <w:rPr>
          <w:szCs w:val="24"/>
        </w:rPr>
        <w:t>: 1) deeds of trust cannot fit within the plain statutory language because the power of sale under a deed of trust is held by the trustee, not the beneficiary</w:t>
      </w:r>
      <w:r w:rsidR="007118E6">
        <w:rPr>
          <w:szCs w:val="24"/>
        </w:rPr>
        <w:t xml:space="preserve"> </w:t>
      </w:r>
      <w:r w:rsidRPr="000A3C75">
        <w:rPr>
          <w:szCs w:val="24"/>
        </w:rPr>
        <w:t>and 2) no gap in title results when an assignment of the beneficial interest in a deed of trust is not of record</w:t>
      </w:r>
      <w:r w:rsidR="006A167C">
        <w:rPr>
          <w:szCs w:val="24"/>
        </w:rPr>
        <w:t>,</w:t>
      </w:r>
      <w:r w:rsidRPr="000A3C75">
        <w:rPr>
          <w:szCs w:val="24"/>
        </w:rPr>
        <w:t xml:space="preserve"> because the trustee's interest is of record and suffices for this purpose. </w:t>
      </w:r>
      <w:r w:rsidR="00E3729E" w:rsidRPr="000A3C75">
        <w:rPr>
          <w:szCs w:val="24"/>
        </w:rPr>
        <w:t xml:space="preserve">To </w:t>
      </w:r>
      <w:r w:rsidR="00674145">
        <w:rPr>
          <w:szCs w:val="24"/>
        </w:rPr>
        <w:t xml:space="preserve">assess these issues under the convincing evidence standard, </w:t>
      </w:r>
      <w:r w:rsidR="00E3729E" w:rsidRPr="000A3C75">
        <w:rPr>
          <w:szCs w:val="24"/>
        </w:rPr>
        <w:t>t</w:t>
      </w:r>
      <w:r w:rsidRPr="000A3C75">
        <w:rPr>
          <w:szCs w:val="24"/>
        </w:rPr>
        <w:t xml:space="preserve">his Court </w:t>
      </w:r>
      <w:r w:rsidR="006A167C">
        <w:rPr>
          <w:szCs w:val="24"/>
        </w:rPr>
        <w:t xml:space="preserve">has </w:t>
      </w:r>
      <w:r w:rsidRPr="000A3C75">
        <w:rPr>
          <w:szCs w:val="24"/>
        </w:rPr>
        <w:t>therefore review</w:t>
      </w:r>
      <w:r w:rsidR="00E3729E" w:rsidRPr="000A3C75">
        <w:rPr>
          <w:szCs w:val="24"/>
        </w:rPr>
        <w:t xml:space="preserve">ed not only the state court </w:t>
      </w:r>
      <w:r w:rsidR="00E3729E" w:rsidRPr="000A3C75">
        <w:rPr>
          <w:szCs w:val="24"/>
        </w:rPr>
        <w:lastRenderedPageBreak/>
        <w:t xml:space="preserve">intermediate decisions, but also </w:t>
      </w:r>
      <w:r w:rsidR="00650680" w:rsidRPr="000A3C75">
        <w:rPr>
          <w:szCs w:val="24"/>
        </w:rPr>
        <w:t xml:space="preserve">all applicable </w:t>
      </w:r>
      <w:r w:rsidRPr="000A3C75">
        <w:rPr>
          <w:szCs w:val="24"/>
        </w:rPr>
        <w:t xml:space="preserve">California Supreme Court and statutory authority germane to </w:t>
      </w:r>
      <w:r w:rsidR="00E3729E" w:rsidRPr="000A3C75">
        <w:rPr>
          <w:szCs w:val="24"/>
        </w:rPr>
        <w:t xml:space="preserve">whether </w:t>
      </w:r>
      <w:r w:rsidRPr="000A3C75">
        <w:rPr>
          <w:szCs w:val="24"/>
        </w:rPr>
        <w:t>§ 2932.5</w:t>
      </w:r>
      <w:r w:rsidR="00E3729E" w:rsidRPr="000A3C75">
        <w:rPr>
          <w:szCs w:val="24"/>
        </w:rPr>
        <w:t xml:space="preserve"> applies to deeds of trust</w:t>
      </w:r>
      <w:r w:rsidRPr="000A3C75">
        <w:rPr>
          <w:szCs w:val="24"/>
        </w:rPr>
        <w:t xml:space="preserve">. </w:t>
      </w:r>
      <w:r w:rsidR="00E3729E" w:rsidRPr="000A3C75">
        <w:rPr>
          <w:szCs w:val="24"/>
        </w:rPr>
        <w:t xml:space="preserve">This review disclosed </w:t>
      </w:r>
      <w:r w:rsidR="00294D33">
        <w:rPr>
          <w:szCs w:val="24"/>
        </w:rPr>
        <w:t>two</w:t>
      </w:r>
      <w:r w:rsidR="00711DBA">
        <w:rPr>
          <w:szCs w:val="24"/>
        </w:rPr>
        <w:t xml:space="preserve"> relevant</w:t>
      </w:r>
      <w:r w:rsidR="00611140">
        <w:rPr>
          <w:szCs w:val="24"/>
        </w:rPr>
        <w:t xml:space="preserve"> California foreclosure statutes</w:t>
      </w:r>
      <w:r w:rsidR="00711DBA">
        <w:rPr>
          <w:szCs w:val="24"/>
        </w:rPr>
        <w:t>,</w:t>
      </w:r>
      <w:r w:rsidR="00294D33">
        <w:rPr>
          <w:szCs w:val="24"/>
        </w:rPr>
        <w:t xml:space="preserve"> </w:t>
      </w:r>
      <w:r w:rsidR="00294D33" w:rsidRPr="000A3C75">
        <w:rPr>
          <w:szCs w:val="24"/>
        </w:rPr>
        <w:t xml:space="preserve">Cal. Civ. Code </w:t>
      </w:r>
      <w:r w:rsidR="00294D33" w:rsidRPr="000A3C75">
        <w:rPr>
          <w:bCs/>
          <w:szCs w:val="24"/>
        </w:rPr>
        <w:t>§ 2924(a)(6)</w:t>
      </w:r>
      <w:r w:rsidR="00294D33">
        <w:rPr>
          <w:bCs/>
          <w:szCs w:val="24"/>
        </w:rPr>
        <w:t xml:space="preserve"> and </w:t>
      </w:r>
      <w:r w:rsidR="00294D33" w:rsidRPr="000A3C75">
        <w:rPr>
          <w:szCs w:val="24"/>
        </w:rPr>
        <w:t xml:space="preserve">Cal. Civ. Code </w:t>
      </w:r>
      <w:r w:rsidR="00294D33" w:rsidRPr="000A3C75">
        <w:rPr>
          <w:bCs/>
          <w:szCs w:val="24"/>
        </w:rPr>
        <w:t>§</w:t>
      </w:r>
      <w:r w:rsidR="00294D33">
        <w:rPr>
          <w:bCs/>
          <w:szCs w:val="24"/>
        </w:rPr>
        <w:t> </w:t>
      </w:r>
      <w:r w:rsidR="00294D33" w:rsidRPr="000A3C75">
        <w:rPr>
          <w:szCs w:val="24"/>
        </w:rPr>
        <w:t>2934a(d)</w:t>
      </w:r>
      <w:r w:rsidR="00711DBA">
        <w:rPr>
          <w:szCs w:val="24"/>
        </w:rPr>
        <w:t>,</w:t>
      </w:r>
      <w:r w:rsidR="00294D33">
        <w:rPr>
          <w:szCs w:val="24"/>
        </w:rPr>
        <w:t xml:space="preserve"> and </w:t>
      </w:r>
      <w:r w:rsidR="00611140">
        <w:rPr>
          <w:szCs w:val="24"/>
        </w:rPr>
        <w:t>two California recording statutes</w:t>
      </w:r>
      <w:r w:rsidR="00711DBA">
        <w:rPr>
          <w:szCs w:val="24"/>
        </w:rPr>
        <w:t>,</w:t>
      </w:r>
      <w:r w:rsidR="00611140">
        <w:rPr>
          <w:szCs w:val="24"/>
        </w:rPr>
        <w:t xml:space="preserve"> </w:t>
      </w:r>
      <w:r w:rsidR="00294D33" w:rsidRPr="000A3C75">
        <w:rPr>
          <w:szCs w:val="24"/>
        </w:rPr>
        <w:t>Cal. Gov. Code § 27257(b)</w:t>
      </w:r>
      <w:r w:rsidR="00294D33">
        <w:rPr>
          <w:szCs w:val="24"/>
        </w:rPr>
        <w:t xml:space="preserve"> and </w:t>
      </w:r>
      <w:r w:rsidR="00294D33" w:rsidRPr="000A3C75">
        <w:rPr>
          <w:szCs w:val="24"/>
        </w:rPr>
        <w:t>Cal. Gov. Code § 27263</w:t>
      </w:r>
      <w:r w:rsidR="00711DBA">
        <w:rPr>
          <w:szCs w:val="24"/>
        </w:rPr>
        <w:t>,</w:t>
      </w:r>
      <w:r w:rsidR="00294D33">
        <w:rPr>
          <w:szCs w:val="24"/>
        </w:rPr>
        <w:t xml:space="preserve"> </w:t>
      </w:r>
      <w:r w:rsidR="00711DBA">
        <w:rPr>
          <w:szCs w:val="24"/>
        </w:rPr>
        <w:t>that have</w:t>
      </w:r>
      <w:r w:rsidR="00294D33">
        <w:rPr>
          <w:szCs w:val="24"/>
        </w:rPr>
        <w:t xml:space="preserve"> not been addressed. The review also </w:t>
      </w:r>
      <w:r w:rsidR="00997B7B">
        <w:rPr>
          <w:szCs w:val="24"/>
        </w:rPr>
        <w:t xml:space="preserve">further explored the impact of </w:t>
      </w:r>
      <w:r w:rsidR="00997B7B">
        <w:rPr>
          <w:i/>
          <w:szCs w:val="24"/>
        </w:rPr>
        <w:t xml:space="preserve">Monterey, </w:t>
      </w:r>
      <w:r w:rsidR="00997B7B" w:rsidRPr="00997B7B">
        <w:rPr>
          <w:szCs w:val="24"/>
        </w:rPr>
        <w:t>49 Cal. 4th at 461</w:t>
      </w:r>
      <w:r w:rsidR="00997B7B">
        <w:rPr>
          <w:i/>
          <w:szCs w:val="24"/>
        </w:rPr>
        <w:t xml:space="preserve">, </w:t>
      </w:r>
      <w:r w:rsidR="00997B7B">
        <w:rPr>
          <w:szCs w:val="24"/>
        </w:rPr>
        <w:t xml:space="preserve">as well as </w:t>
      </w:r>
      <w:r w:rsidR="00294D33" w:rsidRPr="000A3C75">
        <w:rPr>
          <w:i/>
          <w:szCs w:val="24"/>
        </w:rPr>
        <w:t>Burns v. Peters</w:t>
      </w:r>
      <w:r w:rsidR="00294D33" w:rsidRPr="000A3C75">
        <w:rPr>
          <w:szCs w:val="24"/>
        </w:rPr>
        <w:t>, 5 Cal. 2d 619, 625 (Cal. 1936)</w:t>
      </w:r>
      <w:r w:rsidR="001C5809">
        <w:rPr>
          <w:szCs w:val="24"/>
        </w:rPr>
        <w:t xml:space="preserve">.  </w:t>
      </w:r>
      <w:r w:rsidR="00997B7B">
        <w:rPr>
          <w:szCs w:val="24"/>
        </w:rPr>
        <w:t xml:space="preserve">Finally, this Court also reviewed the authoritative treatises bearing on the issue. </w:t>
      </w:r>
      <w:r w:rsidR="00293E92">
        <w:rPr>
          <w:szCs w:val="24"/>
        </w:rPr>
        <w:t xml:space="preserve">With the exception of the reference to </w:t>
      </w:r>
      <w:r w:rsidR="00293E92" w:rsidRPr="00293E92">
        <w:rPr>
          <w:i/>
          <w:szCs w:val="24"/>
        </w:rPr>
        <w:t>Monterey</w:t>
      </w:r>
      <w:r w:rsidR="00293E92">
        <w:rPr>
          <w:szCs w:val="24"/>
        </w:rPr>
        <w:t xml:space="preserve">, 49 Cal.4th at 461, in </w:t>
      </w:r>
      <w:r w:rsidR="00293E92" w:rsidRPr="00293E92">
        <w:rPr>
          <w:i/>
          <w:szCs w:val="24"/>
        </w:rPr>
        <w:t>Haynes</w:t>
      </w:r>
      <w:r w:rsidR="00293E92">
        <w:rPr>
          <w:szCs w:val="24"/>
        </w:rPr>
        <w:t>, 205 Cal.App.4th at 336</w:t>
      </w:r>
      <w:r w:rsidR="00B9025B">
        <w:rPr>
          <w:szCs w:val="24"/>
        </w:rPr>
        <w:t>, t</w:t>
      </w:r>
      <w:r w:rsidR="00997B7B">
        <w:rPr>
          <w:szCs w:val="24"/>
        </w:rPr>
        <w:t xml:space="preserve">his authority </w:t>
      </w:r>
      <w:r w:rsidR="00293E92">
        <w:rPr>
          <w:szCs w:val="24"/>
        </w:rPr>
        <w:t xml:space="preserve">has not been explored </w:t>
      </w:r>
      <w:r w:rsidRPr="000A3C75">
        <w:rPr>
          <w:szCs w:val="24"/>
        </w:rPr>
        <w:t>by any other court</w:t>
      </w:r>
      <w:r w:rsidR="00711DBA">
        <w:rPr>
          <w:rStyle w:val="FootnoteReference"/>
          <w:szCs w:val="24"/>
        </w:rPr>
        <w:footnoteReference w:id="7"/>
      </w:r>
      <w:r w:rsidRPr="000A3C75">
        <w:rPr>
          <w:szCs w:val="24"/>
        </w:rPr>
        <w:t xml:space="preserve"> or, unfortunately, by this Court's earlier decisions</w:t>
      </w:r>
      <w:r w:rsidR="00A167F0" w:rsidRPr="000A3C75">
        <w:rPr>
          <w:szCs w:val="24"/>
        </w:rPr>
        <w:t>.</w:t>
      </w:r>
      <w:r w:rsidRPr="000A3C75">
        <w:rPr>
          <w:rStyle w:val="FootnoteReference"/>
          <w:szCs w:val="24"/>
        </w:rPr>
        <w:footnoteReference w:id="8"/>
      </w:r>
      <w:r w:rsidR="00A167F0" w:rsidRPr="000A3C75">
        <w:rPr>
          <w:szCs w:val="24"/>
        </w:rPr>
        <w:t xml:space="preserve"> </w:t>
      </w:r>
      <w:r w:rsidR="00611140">
        <w:rPr>
          <w:szCs w:val="24"/>
        </w:rPr>
        <w:t>T</w:t>
      </w:r>
      <w:r w:rsidR="00A167F0" w:rsidRPr="000A3C75">
        <w:rPr>
          <w:szCs w:val="24"/>
        </w:rPr>
        <w:t>he presence of controlling statutes or precedent from a state</w:t>
      </w:r>
      <w:r w:rsidR="00E13413" w:rsidRPr="000A3C75">
        <w:rPr>
          <w:szCs w:val="24"/>
        </w:rPr>
        <w:t>'s</w:t>
      </w:r>
      <w:r w:rsidR="00A167F0" w:rsidRPr="000A3C75">
        <w:rPr>
          <w:szCs w:val="24"/>
        </w:rPr>
        <w:t xml:space="preserve"> highest court can be convincing evidence that requires a federal court to disregard intermediate state court decisions. </w:t>
      </w:r>
      <w:r w:rsidR="001A1CB1" w:rsidRPr="000A3C75">
        <w:rPr>
          <w:i/>
          <w:szCs w:val="24"/>
        </w:rPr>
        <w:t>See</w:t>
      </w:r>
      <w:r w:rsidR="001A1CB1" w:rsidRPr="000A3C75">
        <w:rPr>
          <w:szCs w:val="24"/>
        </w:rPr>
        <w:t xml:space="preserve"> </w:t>
      </w:r>
      <w:r w:rsidR="00A167F0" w:rsidRPr="000A3C75">
        <w:rPr>
          <w:i/>
          <w:szCs w:val="24"/>
        </w:rPr>
        <w:t>Dimidowich v. Bell &amp; Howell,</w:t>
      </w:r>
      <w:r w:rsidR="00A167F0" w:rsidRPr="000A3C75">
        <w:rPr>
          <w:szCs w:val="24"/>
        </w:rPr>
        <w:t xml:space="preserve"> 803 F.2d 1473, 1482-83 (9th Cir. 1986) (finding contrary California Supreme Court authority and misconstruction of legal term sufficient convincing evidence to disregard intermediate appellate precedent).  </w:t>
      </w:r>
    </w:p>
    <w:p w:rsidR="0020515C" w:rsidRDefault="00611140" w:rsidP="00611140">
      <w:pPr>
        <w:widowControl/>
        <w:spacing w:line="480" w:lineRule="exact"/>
        <w:ind w:firstLine="720"/>
        <w:rPr>
          <w:szCs w:val="24"/>
        </w:rPr>
      </w:pPr>
      <w:r>
        <w:rPr>
          <w:szCs w:val="24"/>
        </w:rPr>
        <w:t xml:space="preserve">The Court is compelled to conduct a thorough </w:t>
      </w:r>
      <w:r w:rsidR="00A167F0" w:rsidRPr="000A3C75">
        <w:rPr>
          <w:szCs w:val="24"/>
        </w:rPr>
        <w:t>a</w:t>
      </w:r>
      <w:r w:rsidR="00D5037B" w:rsidRPr="000A3C75">
        <w:rPr>
          <w:szCs w:val="24"/>
        </w:rPr>
        <w:t>nalysis</w:t>
      </w:r>
      <w:r w:rsidR="00A167F0" w:rsidRPr="000A3C75">
        <w:rPr>
          <w:szCs w:val="24"/>
        </w:rPr>
        <w:t xml:space="preserve"> of the new authorities</w:t>
      </w:r>
      <w:r w:rsidR="00BF43A2">
        <w:rPr>
          <w:szCs w:val="24"/>
        </w:rPr>
        <w:t xml:space="preserve"> in the context of the issues raised by the Motion</w:t>
      </w:r>
      <w:r>
        <w:rPr>
          <w:szCs w:val="24"/>
        </w:rPr>
        <w:t xml:space="preserve"> to see whether they constitute convincing evidence</w:t>
      </w:r>
      <w:r w:rsidR="00D5037B" w:rsidRPr="000A3C75">
        <w:rPr>
          <w:szCs w:val="24"/>
        </w:rPr>
        <w:t xml:space="preserve">. </w:t>
      </w:r>
      <w:r>
        <w:rPr>
          <w:szCs w:val="24"/>
        </w:rPr>
        <w:lastRenderedPageBreak/>
        <w:t>This Court would not hesitate to follow the majority view if</w:t>
      </w:r>
      <w:r w:rsidR="00711DBA">
        <w:rPr>
          <w:szCs w:val="24"/>
        </w:rPr>
        <w:t xml:space="preserve"> it contained an analysis of the new authority</w:t>
      </w:r>
      <w:r w:rsidR="00B9025B">
        <w:rPr>
          <w:szCs w:val="24"/>
        </w:rPr>
        <w:t>,</w:t>
      </w:r>
      <w:r w:rsidR="00293E92">
        <w:rPr>
          <w:szCs w:val="24"/>
        </w:rPr>
        <w:t xml:space="preserve"> and </w:t>
      </w:r>
      <w:r w:rsidR="00711DBA">
        <w:rPr>
          <w:szCs w:val="24"/>
        </w:rPr>
        <w:t xml:space="preserve">this Court </w:t>
      </w:r>
      <w:r w:rsidR="00B9025B">
        <w:rPr>
          <w:szCs w:val="24"/>
        </w:rPr>
        <w:t xml:space="preserve">simply disagreed with that analysis. </w:t>
      </w:r>
      <w:r>
        <w:rPr>
          <w:szCs w:val="24"/>
        </w:rPr>
        <w:t xml:space="preserve">This Court faces a conundrum however, </w:t>
      </w:r>
      <w:r w:rsidR="00B9025B">
        <w:rPr>
          <w:szCs w:val="24"/>
        </w:rPr>
        <w:t>when on one hand it is</w:t>
      </w:r>
      <w:r w:rsidR="002A4573">
        <w:rPr>
          <w:szCs w:val="24"/>
        </w:rPr>
        <w:t xml:space="preserve"> </w:t>
      </w:r>
      <w:r w:rsidR="00997B7B">
        <w:rPr>
          <w:szCs w:val="24"/>
        </w:rPr>
        <w:t>directed</w:t>
      </w:r>
      <w:r>
        <w:rPr>
          <w:szCs w:val="24"/>
        </w:rPr>
        <w:t xml:space="preserve"> to respect </w:t>
      </w:r>
      <w:r w:rsidR="00B9025B">
        <w:rPr>
          <w:szCs w:val="24"/>
        </w:rPr>
        <w:t xml:space="preserve">the </w:t>
      </w:r>
      <w:r>
        <w:rPr>
          <w:szCs w:val="24"/>
        </w:rPr>
        <w:t>intermediate decisions</w:t>
      </w:r>
      <w:r w:rsidR="00B9025B">
        <w:rPr>
          <w:szCs w:val="24"/>
        </w:rPr>
        <w:t xml:space="preserve"> of state courts</w:t>
      </w:r>
      <w:r>
        <w:rPr>
          <w:szCs w:val="24"/>
        </w:rPr>
        <w:t xml:space="preserve">, </w:t>
      </w:r>
      <w:r w:rsidR="00997B7B" w:rsidRPr="000A3C75">
        <w:rPr>
          <w:i/>
          <w:szCs w:val="24"/>
        </w:rPr>
        <w:t>Lewis</w:t>
      </w:r>
      <w:r w:rsidR="00997B7B">
        <w:rPr>
          <w:i/>
          <w:szCs w:val="24"/>
        </w:rPr>
        <w:t xml:space="preserve">, </w:t>
      </w:r>
      <w:r w:rsidR="00997B7B" w:rsidRPr="000A3C75">
        <w:rPr>
          <w:szCs w:val="24"/>
        </w:rPr>
        <w:t xml:space="preserve">87 F.3d </w:t>
      </w:r>
      <w:r w:rsidR="00997B7B">
        <w:rPr>
          <w:szCs w:val="24"/>
        </w:rPr>
        <w:t xml:space="preserve">at </w:t>
      </w:r>
      <w:r w:rsidR="00997B7B" w:rsidRPr="000A3C75">
        <w:rPr>
          <w:szCs w:val="24"/>
        </w:rPr>
        <w:t>1545</w:t>
      </w:r>
      <w:r w:rsidR="00997B7B">
        <w:rPr>
          <w:szCs w:val="24"/>
        </w:rPr>
        <w:t xml:space="preserve">, </w:t>
      </w:r>
      <w:r w:rsidR="00293E92">
        <w:rPr>
          <w:szCs w:val="24"/>
        </w:rPr>
        <w:t>but</w:t>
      </w:r>
      <w:r>
        <w:rPr>
          <w:szCs w:val="24"/>
        </w:rPr>
        <w:t xml:space="preserve"> on the other hand, it is </w:t>
      </w:r>
      <w:r w:rsidR="00B9025B">
        <w:rPr>
          <w:szCs w:val="24"/>
        </w:rPr>
        <w:t xml:space="preserve">also </w:t>
      </w:r>
      <w:r>
        <w:rPr>
          <w:szCs w:val="24"/>
        </w:rPr>
        <w:t>directed to follow controlling authority that is contrary to the</w:t>
      </w:r>
      <w:r w:rsidR="0020515C">
        <w:rPr>
          <w:szCs w:val="24"/>
        </w:rPr>
        <w:t xml:space="preserve"> intermediate state court dec</w:t>
      </w:r>
      <w:r>
        <w:rPr>
          <w:szCs w:val="24"/>
        </w:rPr>
        <w:t>isions.</w:t>
      </w:r>
      <w:r w:rsidR="0020515C" w:rsidRPr="0020515C">
        <w:rPr>
          <w:i/>
          <w:szCs w:val="24"/>
        </w:rPr>
        <w:t xml:space="preserve"> </w:t>
      </w:r>
      <w:r w:rsidR="00E10067">
        <w:rPr>
          <w:i/>
          <w:szCs w:val="24"/>
        </w:rPr>
        <w:t>Dimidowich</w:t>
      </w:r>
      <w:r w:rsidR="0020515C" w:rsidRPr="000A3C75">
        <w:rPr>
          <w:i/>
          <w:szCs w:val="24"/>
        </w:rPr>
        <w:t>,</w:t>
      </w:r>
      <w:r w:rsidR="0020515C">
        <w:rPr>
          <w:szCs w:val="24"/>
        </w:rPr>
        <w:t xml:space="preserve"> 803 F.2d at</w:t>
      </w:r>
      <w:r w:rsidR="0020515C" w:rsidRPr="000A3C75">
        <w:rPr>
          <w:szCs w:val="24"/>
        </w:rPr>
        <w:t xml:space="preserve"> 1482-83</w:t>
      </w:r>
      <w:r w:rsidR="0020515C">
        <w:rPr>
          <w:szCs w:val="24"/>
        </w:rPr>
        <w:t xml:space="preserve">. </w:t>
      </w:r>
    </w:p>
    <w:p w:rsidR="00D5037B" w:rsidRPr="000A3C75" w:rsidRDefault="0020515C" w:rsidP="00611140">
      <w:pPr>
        <w:widowControl/>
        <w:spacing w:line="480" w:lineRule="exact"/>
        <w:ind w:firstLine="720"/>
        <w:rPr>
          <w:szCs w:val="24"/>
        </w:rPr>
      </w:pPr>
      <w:r>
        <w:rPr>
          <w:szCs w:val="24"/>
        </w:rPr>
        <w:t>T</w:t>
      </w:r>
      <w:r w:rsidR="00997B7B">
        <w:rPr>
          <w:szCs w:val="24"/>
        </w:rPr>
        <w:t xml:space="preserve">o rule on the Motion </w:t>
      </w:r>
      <w:r w:rsidR="00293E92">
        <w:rPr>
          <w:szCs w:val="24"/>
        </w:rPr>
        <w:t xml:space="preserve">then, </w:t>
      </w:r>
      <w:r w:rsidR="00997B7B">
        <w:rPr>
          <w:szCs w:val="24"/>
        </w:rPr>
        <w:t>t</w:t>
      </w:r>
      <w:r>
        <w:rPr>
          <w:szCs w:val="24"/>
        </w:rPr>
        <w:t xml:space="preserve">his Court </w:t>
      </w:r>
      <w:r w:rsidR="00997B7B">
        <w:rPr>
          <w:szCs w:val="24"/>
        </w:rPr>
        <w:t xml:space="preserve">must </w:t>
      </w:r>
      <w:r>
        <w:rPr>
          <w:szCs w:val="24"/>
        </w:rPr>
        <w:t>first analyze this new authority</w:t>
      </w:r>
      <w:r w:rsidR="00E10067">
        <w:rPr>
          <w:szCs w:val="24"/>
        </w:rPr>
        <w:t>,</w:t>
      </w:r>
      <w:r>
        <w:rPr>
          <w:szCs w:val="24"/>
        </w:rPr>
        <w:t xml:space="preserve"> and then </w:t>
      </w:r>
      <w:r w:rsidR="00E10067">
        <w:rPr>
          <w:szCs w:val="24"/>
        </w:rPr>
        <w:t>a</w:t>
      </w:r>
      <w:r>
        <w:rPr>
          <w:szCs w:val="24"/>
        </w:rPr>
        <w:t xml:space="preserve">pply that analysis </w:t>
      </w:r>
      <w:r w:rsidR="00E10067">
        <w:rPr>
          <w:szCs w:val="24"/>
        </w:rPr>
        <w:t xml:space="preserve">to </w:t>
      </w:r>
      <w:r>
        <w:rPr>
          <w:szCs w:val="24"/>
        </w:rPr>
        <w:t>resolve th</w:t>
      </w:r>
      <w:r w:rsidR="00E10067">
        <w:rPr>
          <w:szCs w:val="24"/>
        </w:rPr>
        <w:t xml:space="preserve">is conflict. </w:t>
      </w:r>
      <w:r>
        <w:rPr>
          <w:szCs w:val="24"/>
        </w:rPr>
        <w:t xml:space="preserve"> </w:t>
      </w:r>
      <w:r w:rsidR="00D5037B" w:rsidRPr="000A3C75">
        <w:rPr>
          <w:szCs w:val="24"/>
        </w:rPr>
        <w:t xml:space="preserve">  </w:t>
      </w:r>
    </w:p>
    <w:p w:rsidR="00D5037B" w:rsidRPr="000A3C75" w:rsidRDefault="00D5037B" w:rsidP="007C45CF">
      <w:pPr>
        <w:pStyle w:val="ListParagraph"/>
        <w:keepNext/>
        <w:widowControl/>
        <w:numPr>
          <w:ilvl w:val="0"/>
          <w:numId w:val="16"/>
        </w:numPr>
        <w:tabs>
          <w:tab w:val="num" w:pos="720"/>
        </w:tabs>
        <w:spacing w:line="480" w:lineRule="exact"/>
        <w:outlineLvl w:val="0"/>
        <w:rPr>
          <w:b/>
          <w:szCs w:val="24"/>
          <w:u w:val="single"/>
        </w:rPr>
      </w:pPr>
      <w:r w:rsidRPr="000A3C75">
        <w:rPr>
          <w:b/>
          <w:szCs w:val="24"/>
          <w:u w:val="single"/>
        </w:rPr>
        <w:t>ANALYSIS</w:t>
      </w:r>
    </w:p>
    <w:p w:rsidR="00473373" w:rsidRPr="000A3C75" w:rsidRDefault="00473373" w:rsidP="00000E49">
      <w:pPr>
        <w:widowControl/>
        <w:spacing w:line="480" w:lineRule="exact"/>
        <w:ind w:firstLine="720"/>
        <w:rPr>
          <w:b/>
          <w:szCs w:val="24"/>
          <w:u w:val="single"/>
        </w:rPr>
      </w:pPr>
    </w:p>
    <w:p w:rsidR="00D5037B" w:rsidRPr="000A3C75" w:rsidRDefault="00D5037B" w:rsidP="00D5037B">
      <w:pPr>
        <w:pStyle w:val="ListParagraph"/>
        <w:keepNext/>
        <w:widowControl/>
        <w:numPr>
          <w:ilvl w:val="0"/>
          <w:numId w:val="22"/>
        </w:numPr>
        <w:spacing w:line="240" w:lineRule="auto"/>
        <w:outlineLvl w:val="0"/>
        <w:rPr>
          <w:b/>
          <w:i/>
          <w:szCs w:val="24"/>
        </w:rPr>
      </w:pPr>
      <w:r w:rsidRPr="000A3C75">
        <w:rPr>
          <w:b/>
          <w:szCs w:val="24"/>
        </w:rPr>
        <w:t>Whether the Beneficiary</w:t>
      </w:r>
      <w:r w:rsidR="00CD671A" w:rsidRPr="000A3C75">
        <w:rPr>
          <w:b/>
          <w:szCs w:val="24"/>
        </w:rPr>
        <w:t xml:space="preserve"> or the Trustee H</w:t>
      </w:r>
      <w:r w:rsidRPr="000A3C75">
        <w:rPr>
          <w:b/>
          <w:szCs w:val="24"/>
        </w:rPr>
        <w:t>olds the Power of Sale Under a Deed of Trust</w:t>
      </w:r>
    </w:p>
    <w:p w:rsidR="00041EF0" w:rsidRPr="000A3C75" w:rsidRDefault="000B1525" w:rsidP="00041EF0">
      <w:pPr>
        <w:widowControl/>
        <w:spacing w:line="480" w:lineRule="exact"/>
        <w:ind w:firstLine="720"/>
        <w:rPr>
          <w:szCs w:val="24"/>
        </w:rPr>
      </w:pPr>
      <w:r w:rsidRPr="000A3C75">
        <w:rPr>
          <w:szCs w:val="24"/>
        </w:rPr>
        <w:t>The first issue raised by Defendants is whether the plain language of § 2932.5 can accommodate deeds of trust as easily as it does mortgages</w:t>
      </w:r>
      <w:r w:rsidR="00721E1D">
        <w:rPr>
          <w:szCs w:val="24"/>
        </w:rPr>
        <w:t>.</w:t>
      </w:r>
      <w:r w:rsidR="004D12B8" w:rsidRPr="000A3C75">
        <w:rPr>
          <w:rStyle w:val="FootnoteReference"/>
          <w:szCs w:val="24"/>
        </w:rPr>
        <w:footnoteReference w:id="9"/>
      </w:r>
      <w:r w:rsidR="00721E1D">
        <w:rPr>
          <w:szCs w:val="24"/>
        </w:rPr>
        <w:t xml:space="preserve"> </w:t>
      </w:r>
      <w:r w:rsidR="0051008A" w:rsidRPr="000A3C75">
        <w:rPr>
          <w:szCs w:val="24"/>
        </w:rPr>
        <w:t>The power of sale is the right that allows a beneficiary to foreclose on the deed of trust without resort</w:t>
      </w:r>
      <w:r w:rsidR="00356D05">
        <w:rPr>
          <w:szCs w:val="24"/>
        </w:rPr>
        <w:t>ing</w:t>
      </w:r>
      <w:r w:rsidR="0051008A" w:rsidRPr="000A3C75">
        <w:rPr>
          <w:szCs w:val="24"/>
        </w:rPr>
        <w:t xml:space="preserve"> to the judicial process. Cal. Civ. Code § 2924(a).</w:t>
      </w:r>
      <w:r w:rsidR="0051008A">
        <w:rPr>
          <w:szCs w:val="24"/>
        </w:rPr>
        <w:t xml:space="preserve"> </w:t>
      </w:r>
      <w:r w:rsidR="00041EF0" w:rsidRPr="000A3C75">
        <w:rPr>
          <w:szCs w:val="24"/>
        </w:rPr>
        <w:t>With emphasis on the relevant terms, § 2932.5 provides:</w:t>
      </w:r>
    </w:p>
    <w:p w:rsidR="00041EF0" w:rsidRPr="000A3C75" w:rsidRDefault="00041EF0" w:rsidP="00D02F3F">
      <w:pPr>
        <w:widowControl/>
        <w:spacing w:after="120" w:line="480" w:lineRule="exact"/>
        <w:ind w:firstLine="1440"/>
        <w:rPr>
          <w:szCs w:val="24"/>
        </w:rPr>
      </w:pPr>
      <w:r w:rsidRPr="000A3C75">
        <w:rPr>
          <w:bCs/>
          <w:szCs w:val="24"/>
        </w:rPr>
        <w:t xml:space="preserve">§ 2932.5 </w:t>
      </w:r>
      <w:r w:rsidRPr="000A3C75">
        <w:rPr>
          <w:b/>
          <w:bCs/>
          <w:i/>
          <w:szCs w:val="24"/>
        </w:rPr>
        <w:t>Power of sale</w:t>
      </w:r>
      <w:r w:rsidRPr="000A3C75">
        <w:rPr>
          <w:bCs/>
          <w:szCs w:val="24"/>
        </w:rPr>
        <w:t xml:space="preserve">; </w:t>
      </w:r>
      <w:r w:rsidRPr="000A3C75">
        <w:rPr>
          <w:szCs w:val="24"/>
        </w:rPr>
        <w:t>vesting</w:t>
      </w:r>
      <w:r w:rsidRPr="000A3C75">
        <w:rPr>
          <w:bCs/>
          <w:szCs w:val="24"/>
        </w:rPr>
        <w:t xml:space="preserve"> in assignee:</w:t>
      </w:r>
    </w:p>
    <w:p w:rsidR="000B1525" w:rsidRPr="000A3C75" w:rsidRDefault="00041EF0" w:rsidP="00D02F3F">
      <w:pPr>
        <w:widowControl/>
        <w:spacing w:line="240" w:lineRule="auto"/>
        <w:ind w:left="1440" w:right="1530"/>
        <w:rPr>
          <w:szCs w:val="24"/>
        </w:rPr>
      </w:pPr>
      <w:r w:rsidRPr="000A3C75">
        <w:rPr>
          <w:szCs w:val="24"/>
        </w:rPr>
        <w:t xml:space="preserve">Where a </w:t>
      </w:r>
      <w:r w:rsidRPr="000A3C75">
        <w:rPr>
          <w:b/>
          <w:i/>
          <w:szCs w:val="24"/>
        </w:rPr>
        <w:t>power to sell</w:t>
      </w:r>
      <w:r w:rsidRPr="000A3C75">
        <w:rPr>
          <w:szCs w:val="24"/>
        </w:rPr>
        <w:t xml:space="preserve"> real property is given to a mortgagee, or other encumbrancer, in an instrument intended to secure the payment of money, the </w:t>
      </w:r>
      <w:r w:rsidRPr="000A3C75">
        <w:rPr>
          <w:b/>
          <w:i/>
          <w:szCs w:val="24"/>
        </w:rPr>
        <w:t>power</w:t>
      </w:r>
      <w:r w:rsidRPr="000A3C75">
        <w:rPr>
          <w:szCs w:val="24"/>
        </w:rPr>
        <w:t xml:space="preserve"> is part of the security and vests in any person who by assignment becomes entitled to payment of the money secured by the instrument. The </w:t>
      </w:r>
      <w:r w:rsidRPr="000A3C75">
        <w:rPr>
          <w:b/>
          <w:i/>
          <w:szCs w:val="24"/>
        </w:rPr>
        <w:t>power of sale</w:t>
      </w:r>
      <w:r w:rsidRPr="000A3C75">
        <w:rPr>
          <w:szCs w:val="24"/>
        </w:rPr>
        <w:t xml:space="preserve"> may be exercised by the assignee if the assignment is duly acknowledged and recorded.</w:t>
      </w:r>
      <w:r w:rsidR="000B1525" w:rsidRPr="000A3C75">
        <w:rPr>
          <w:szCs w:val="24"/>
        </w:rPr>
        <w:t xml:space="preserve"> </w:t>
      </w:r>
    </w:p>
    <w:p w:rsidR="00674145" w:rsidRDefault="00041EF0" w:rsidP="00041EF0">
      <w:pPr>
        <w:widowControl/>
        <w:spacing w:line="480" w:lineRule="exact"/>
        <w:ind w:firstLine="720"/>
        <w:rPr>
          <w:szCs w:val="24"/>
        </w:rPr>
      </w:pPr>
      <w:r w:rsidRPr="000A3C75">
        <w:rPr>
          <w:szCs w:val="24"/>
        </w:rPr>
        <w:t xml:space="preserve">By its plain language, </w:t>
      </w:r>
      <w:r w:rsidR="00D5037B" w:rsidRPr="000A3C75">
        <w:rPr>
          <w:szCs w:val="24"/>
        </w:rPr>
        <w:t xml:space="preserve">§ 2932.5 only applies to </w:t>
      </w:r>
      <w:r w:rsidRPr="000A3C75">
        <w:rPr>
          <w:szCs w:val="24"/>
        </w:rPr>
        <w:t xml:space="preserve">a </w:t>
      </w:r>
      <w:r w:rsidR="00D5037B" w:rsidRPr="000A3C75">
        <w:rPr>
          <w:szCs w:val="24"/>
        </w:rPr>
        <w:t>mortgage</w:t>
      </w:r>
      <w:r w:rsidRPr="000A3C75">
        <w:rPr>
          <w:szCs w:val="24"/>
        </w:rPr>
        <w:t xml:space="preserve">e or other encumbrancer </w:t>
      </w:r>
      <w:r w:rsidR="00CD1B14">
        <w:rPr>
          <w:szCs w:val="24"/>
        </w:rPr>
        <w:t xml:space="preserve">holding the power of sale. </w:t>
      </w:r>
      <w:r w:rsidR="00674145" w:rsidRPr="000A3C75">
        <w:rPr>
          <w:i/>
          <w:szCs w:val="24"/>
        </w:rPr>
        <w:t>See</w:t>
      </w:r>
      <w:r w:rsidR="00674145" w:rsidRPr="000A3C75">
        <w:rPr>
          <w:szCs w:val="24"/>
        </w:rPr>
        <w:t xml:space="preserve"> </w:t>
      </w:r>
      <w:r w:rsidR="00674145" w:rsidRPr="000A3C75">
        <w:rPr>
          <w:i/>
          <w:iCs/>
          <w:szCs w:val="24"/>
        </w:rPr>
        <w:t>Cal. Fed. Savings &amp; Loan Assn. v. City of Los Angeles</w:t>
      </w:r>
      <w:r w:rsidR="00674145" w:rsidRPr="000A3C75">
        <w:rPr>
          <w:szCs w:val="24"/>
        </w:rPr>
        <w:t xml:space="preserve">, 11 Cal.4th 342, 349 (1995) (plain language of a statute, </w:t>
      </w:r>
      <w:r w:rsidR="00674145" w:rsidRPr="000A3C75">
        <w:rPr>
          <w:bCs/>
          <w:szCs w:val="24"/>
        </w:rPr>
        <w:t xml:space="preserve">giving the words </w:t>
      </w:r>
      <w:r w:rsidR="00674145" w:rsidRPr="00FA00F0">
        <w:rPr>
          <w:bCs/>
          <w:szCs w:val="24"/>
        </w:rPr>
        <w:t>their</w:t>
      </w:r>
      <w:r w:rsidR="00674145" w:rsidRPr="000A3C75">
        <w:rPr>
          <w:bCs/>
          <w:szCs w:val="24"/>
        </w:rPr>
        <w:t xml:space="preserve"> "plain and direct import," determines its statutory meaning).</w:t>
      </w:r>
      <w:r w:rsidR="00674145">
        <w:rPr>
          <w:bCs/>
          <w:szCs w:val="24"/>
        </w:rPr>
        <w:t xml:space="preserve"> </w:t>
      </w:r>
      <w:r w:rsidR="00721E1D">
        <w:rPr>
          <w:szCs w:val="24"/>
        </w:rPr>
        <w:t xml:space="preserve">Both </w:t>
      </w:r>
      <w:r w:rsidRPr="000A3C75">
        <w:rPr>
          <w:szCs w:val="24"/>
        </w:rPr>
        <w:t xml:space="preserve">the mortgagee </w:t>
      </w:r>
      <w:r w:rsidR="00CD1B14">
        <w:rPr>
          <w:szCs w:val="24"/>
        </w:rPr>
        <w:t xml:space="preserve">under a mortgage, </w:t>
      </w:r>
      <w:r w:rsidRPr="000A3C75">
        <w:rPr>
          <w:szCs w:val="24"/>
        </w:rPr>
        <w:t xml:space="preserve">and the beneficiary </w:t>
      </w:r>
      <w:r w:rsidRPr="000A3C75">
        <w:rPr>
          <w:szCs w:val="24"/>
        </w:rPr>
        <w:lastRenderedPageBreak/>
        <w:t>under a deed of trust</w:t>
      </w:r>
      <w:r w:rsidR="00CD1B14">
        <w:rPr>
          <w:szCs w:val="24"/>
        </w:rPr>
        <w:t>,</w:t>
      </w:r>
      <w:r w:rsidRPr="000A3C75">
        <w:rPr>
          <w:szCs w:val="24"/>
        </w:rPr>
        <w:t xml:space="preserve"> </w:t>
      </w:r>
      <w:r w:rsidR="006A167C">
        <w:rPr>
          <w:szCs w:val="24"/>
        </w:rPr>
        <w:t xml:space="preserve">can be considered </w:t>
      </w:r>
      <w:r w:rsidRPr="000A3C75">
        <w:rPr>
          <w:szCs w:val="24"/>
        </w:rPr>
        <w:t>encumbrancers</w:t>
      </w:r>
      <w:r w:rsidR="006A167C">
        <w:rPr>
          <w:szCs w:val="24"/>
        </w:rPr>
        <w:t xml:space="preserve"> under the statute</w:t>
      </w:r>
      <w:r w:rsidR="00721E1D">
        <w:rPr>
          <w:szCs w:val="24"/>
        </w:rPr>
        <w:t>. T</w:t>
      </w:r>
      <w:r w:rsidRPr="000A3C75">
        <w:rPr>
          <w:szCs w:val="24"/>
        </w:rPr>
        <w:t>he trustee</w:t>
      </w:r>
      <w:r w:rsidR="00721E1D">
        <w:rPr>
          <w:szCs w:val="24"/>
        </w:rPr>
        <w:t>, however,</w:t>
      </w:r>
      <w:r w:rsidRPr="000A3C75">
        <w:rPr>
          <w:szCs w:val="24"/>
        </w:rPr>
        <w:t xml:space="preserve"> </w:t>
      </w:r>
      <w:r w:rsidR="006A167C">
        <w:rPr>
          <w:szCs w:val="24"/>
        </w:rPr>
        <w:t>can</w:t>
      </w:r>
      <w:r w:rsidRPr="000A3C75">
        <w:rPr>
          <w:szCs w:val="24"/>
        </w:rPr>
        <w:t>not.</w:t>
      </w:r>
      <w:r w:rsidR="00721E1D">
        <w:rPr>
          <w:szCs w:val="24"/>
        </w:rPr>
        <w:t xml:space="preserve"> </w:t>
      </w:r>
    </w:p>
    <w:p w:rsidR="001C5809" w:rsidRDefault="00DD5EF6" w:rsidP="00F466C9">
      <w:pPr>
        <w:widowControl/>
        <w:spacing w:line="480" w:lineRule="exact"/>
        <w:ind w:firstLine="720"/>
        <w:rPr>
          <w:szCs w:val="24"/>
        </w:rPr>
      </w:pPr>
      <w:r>
        <w:rPr>
          <w:szCs w:val="24"/>
        </w:rPr>
        <w:t xml:space="preserve">As </w:t>
      </w:r>
      <w:r w:rsidR="00674145">
        <w:rPr>
          <w:szCs w:val="24"/>
        </w:rPr>
        <w:t xml:space="preserve">recognized in </w:t>
      </w:r>
      <w:r w:rsidR="00674145" w:rsidRPr="00674145">
        <w:rPr>
          <w:i/>
          <w:szCs w:val="24"/>
        </w:rPr>
        <w:t>Haynes</w:t>
      </w:r>
      <w:r w:rsidR="00674145">
        <w:rPr>
          <w:szCs w:val="24"/>
        </w:rPr>
        <w:t xml:space="preserve">, </w:t>
      </w:r>
      <w:r w:rsidR="006A167C">
        <w:rPr>
          <w:szCs w:val="24"/>
        </w:rPr>
        <w:t xml:space="preserve">whether the beneficiary or the trustee </w:t>
      </w:r>
      <w:r w:rsidR="00674145">
        <w:rPr>
          <w:szCs w:val="24"/>
        </w:rPr>
        <w:t>holds the power of sale will determine whether the statute applies to deeds of trust.</w:t>
      </w:r>
      <w:r w:rsidR="00D25DCD">
        <w:rPr>
          <w:szCs w:val="24"/>
        </w:rPr>
        <w:t xml:space="preserve"> </w:t>
      </w:r>
      <w:r w:rsidR="00D25DCD">
        <w:rPr>
          <w:bCs/>
          <w:szCs w:val="24"/>
        </w:rPr>
        <w:t>205 Cal.App.</w:t>
      </w:r>
      <w:r w:rsidR="00674145">
        <w:rPr>
          <w:bCs/>
          <w:szCs w:val="24"/>
        </w:rPr>
        <w:t>4th at</w:t>
      </w:r>
      <w:r w:rsidR="004D12B8" w:rsidRPr="000A3C75">
        <w:rPr>
          <w:szCs w:val="24"/>
        </w:rPr>
        <w:t xml:space="preserve"> 336</w:t>
      </w:r>
      <w:r w:rsidR="00674145">
        <w:rPr>
          <w:szCs w:val="24"/>
        </w:rPr>
        <w:t xml:space="preserve"> (</w:t>
      </w:r>
      <w:r w:rsidR="004D12B8" w:rsidRPr="000A3C75">
        <w:rPr>
          <w:szCs w:val="24"/>
        </w:rPr>
        <w:t>conclud</w:t>
      </w:r>
      <w:r w:rsidR="00674145">
        <w:rPr>
          <w:szCs w:val="24"/>
        </w:rPr>
        <w:t xml:space="preserve">ing that </w:t>
      </w:r>
      <w:r w:rsidR="004D12B8" w:rsidRPr="000A3C75">
        <w:rPr>
          <w:szCs w:val="24"/>
        </w:rPr>
        <w:t>since the trustee holds the power of sale, the statute, "by its plain terms, d</w:t>
      </w:r>
      <w:r w:rsidR="00CD6D4D">
        <w:rPr>
          <w:szCs w:val="24"/>
        </w:rPr>
        <w:t>oes not apply to deeds of trust</w:t>
      </w:r>
      <w:r w:rsidR="004D12B8" w:rsidRPr="000A3C75">
        <w:rPr>
          <w:szCs w:val="24"/>
        </w:rPr>
        <w:t>"</w:t>
      </w:r>
      <w:r w:rsidR="00674145">
        <w:rPr>
          <w:szCs w:val="24"/>
        </w:rPr>
        <w:t>)</w:t>
      </w:r>
      <w:r w:rsidR="00CD6D4D">
        <w:rPr>
          <w:szCs w:val="24"/>
        </w:rPr>
        <w:t>.</w:t>
      </w:r>
      <w:r w:rsidR="0051008A">
        <w:rPr>
          <w:szCs w:val="24"/>
        </w:rPr>
        <w:t xml:space="preserve"> </w:t>
      </w:r>
      <w:r>
        <w:rPr>
          <w:szCs w:val="24"/>
        </w:rPr>
        <w:t xml:space="preserve">Although </w:t>
      </w:r>
      <w:r w:rsidRPr="00DD5EF6">
        <w:rPr>
          <w:i/>
          <w:szCs w:val="24"/>
        </w:rPr>
        <w:t>Haynes</w:t>
      </w:r>
      <w:r>
        <w:rPr>
          <w:szCs w:val="24"/>
        </w:rPr>
        <w:t xml:space="preserve">, </w:t>
      </w:r>
      <w:r w:rsidRPr="00DD5EF6">
        <w:rPr>
          <w:i/>
          <w:szCs w:val="24"/>
        </w:rPr>
        <w:t>id</w:t>
      </w:r>
      <w:r w:rsidR="00D25DCD">
        <w:rPr>
          <w:szCs w:val="24"/>
        </w:rPr>
        <w:t>., concluded</w:t>
      </w:r>
      <w:r>
        <w:rPr>
          <w:szCs w:val="24"/>
        </w:rPr>
        <w:t xml:space="preserve"> that the trustee holds the power of sale, o</w:t>
      </w:r>
      <w:r w:rsidR="004D12B8" w:rsidRPr="000A3C75">
        <w:rPr>
          <w:szCs w:val="24"/>
        </w:rPr>
        <w:t xml:space="preserve">ther authorities, including this Court, have </w:t>
      </w:r>
      <w:r w:rsidR="009F7542">
        <w:rPr>
          <w:szCs w:val="24"/>
        </w:rPr>
        <w:t>found that</w:t>
      </w:r>
      <w:r w:rsidR="00E74040">
        <w:rPr>
          <w:szCs w:val="24"/>
        </w:rPr>
        <w:t xml:space="preserve"> the beneficiary holds the power of sale and hence,</w:t>
      </w:r>
      <w:r w:rsidR="009F7542">
        <w:rPr>
          <w:szCs w:val="24"/>
        </w:rPr>
        <w:t xml:space="preserve"> </w:t>
      </w:r>
      <w:r w:rsidR="004D12B8" w:rsidRPr="000A3C75">
        <w:rPr>
          <w:szCs w:val="24"/>
        </w:rPr>
        <w:t xml:space="preserve">the plain </w:t>
      </w:r>
      <w:r w:rsidR="004D12B8" w:rsidRPr="002A4573">
        <w:rPr>
          <w:szCs w:val="24"/>
        </w:rPr>
        <w:t>language of §</w:t>
      </w:r>
      <w:r w:rsidR="00CF715B" w:rsidRPr="002A4573">
        <w:rPr>
          <w:szCs w:val="24"/>
        </w:rPr>
        <w:t> </w:t>
      </w:r>
      <w:r w:rsidR="004D12B8" w:rsidRPr="002A4573">
        <w:rPr>
          <w:szCs w:val="24"/>
        </w:rPr>
        <w:t xml:space="preserve">2932.5 </w:t>
      </w:r>
      <w:r w:rsidR="004B752D" w:rsidRPr="002A4573">
        <w:rPr>
          <w:szCs w:val="24"/>
        </w:rPr>
        <w:t>appl</w:t>
      </w:r>
      <w:r w:rsidR="00E74040" w:rsidRPr="002A4573">
        <w:rPr>
          <w:szCs w:val="24"/>
        </w:rPr>
        <w:t>ies</w:t>
      </w:r>
      <w:r w:rsidR="004D12B8" w:rsidRPr="002A4573">
        <w:rPr>
          <w:szCs w:val="24"/>
        </w:rPr>
        <w:t xml:space="preserve"> to deeds of trust</w:t>
      </w:r>
      <w:r w:rsidR="00674145" w:rsidRPr="002A4573">
        <w:rPr>
          <w:szCs w:val="24"/>
        </w:rPr>
        <w:t xml:space="preserve">. </w:t>
      </w:r>
      <w:r w:rsidR="00E74040" w:rsidRPr="002A4573">
        <w:rPr>
          <w:i/>
          <w:szCs w:val="24"/>
        </w:rPr>
        <w:t>S</w:t>
      </w:r>
      <w:r w:rsidR="00E74040" w:rsidRPr="002A4573">
        <w:rPr>
          <w:bCs/>
          <w:i/>
          <w:szCs w:val="24"/>
        </w:rPr>
        <w:t xml:space="preserve">ee </w:t>
      </w:r>
      <w:r w:rsidR="00E74040" w:rsidRPr="002A4573">
        <w:rPr>
          <w:i/>
          <w:szCs w:val="24"/>
        </w:rPr>
        <w:t>Cruz I,</w:t>
      </w:r>
      <w:r w:rsidR="00E74040" w:rsidRPr="002A4573">
        <w:rPr>
          <w:szCs w:val="24"/>
        </w:rPr>
        <w:t xml:space="preserve"> 457 B.R. at 817 (the beneficiary holds the power of sale, relying upon </w:t>
      </w:r>
      <w:r w:rsidR="00E74040" w:rsidRPr="002A4573">
        <w:rPr>
          <w:i/>
          <w:szCs w:val="24"/>
        </w:rPr>
        <w:t>Monterey,</w:t>
      </w:r>
      <w:r w:rsidR="00E74040" w:rsidRPr="002A4573">
        <w:rPr>
          <w:szCs w:val="24"/>
        </w:rPr>
        <w:t xml:space="preserve"> 49 Cal. 3d at 461); </w:t>
      </w:r>
      <w:r w:rsidR="00E74040" w:rsidRPr="002A4573">
        <w:rPr>
          <w:i/>
          <w:szCs w:val="24"/>
        </w:rPr>
        <w:t>see also</w:t>
      </w:r>
      <w:r w:rsidR="00CD6D4D" w:rsidRPr="002A4573">
        <w:rPr>
          <w:szCs w:val="24"/>
        </w:rPr>
        <w:t xml:space="preserve"> </w:t>
      </w:r>
      <w:r w:rsidR="002A4573" w:rsidRPr="002A4573">
        <w:rPr>
          <w:szCs w:val="24"/>
        </w:rPr>
        <w:t xml:space="preserve">Miller &amp; Starr § 10:38 </w:t>
      </w:r>
      <w:r w:rsidR="004D12B8" w:rsidRPr="002A4573">
        <w:rPr>
          <w:szCs w:val="24"/>
        </w:rPr>
        <w:t>(</w:t>
      </w:r>
      <w:r w:rsidR="004D12B8" w:rsidRPr="002A4573">
        <w:rPr>
          <w:bCs/>
          <w:szCs w:val="24"/>
        </w:rPr>
        <w:t xml:space="preserve">statutory language of § 2932.5 appears to accommodate deeds of trust although acknowledging that </w:t>
      </w:r>
      <w:r w:rsidR="00CD1B14" w:rsidRPr="002A4573">
        <w:rPr>
          <w:bCs/>
          <w:szCs w:val="24"/>
        </w:rPr>
        <w:t>recent</w:t>
      </w:r>
      <w:r w:rsidR="00CD1B14">
        <w:rPr>
          <w:bCs/>
          <w:szCs w:val="24"/>
        </w:rPr>
        <w:t xml:space="preserve"> state d</w:t>
      </w:r>
      <w:r w:rsidR="004D12B8" w:rsidRPr="000A3C75">
        <w:rPr>
          <w:rStyle w:val="Hyperlink"/>
          <w:color w:val="auto"/>
          <w:szCs w:val="24"/>
          <w:u w:val="none"/>
        </w:rPr>
        <w:t xml:space="preserve">ecisions </w:t>
      </w:r>
      <w:r w:rsidR="00674145">
        <w:rPr>
          <w:bCs/>
          <w:szCs w:val="24"/>
        </w:rPr>
        <w:t>have decided otherwise</w:t>
      </w:r>
      <w:r w:rsidR="00E74040">
        <w:rPr>
          <w:bCs/>
          <w:szCs w:val="24"/>
        </w:rPr>
        <w:t>)</w:t>
      </w:r>
      <w:r w:rsidR="00A0562B">
        <w:rPr>
          <w:szCs w:val="24"/>
        </w:rPr>
        <w:t>.</w:t>
      </w:r>
      <w:r w:rsidR="002A4573">
        <w:rPr>
          <w:szCs w:val="24"/>
        </w:rPr>
        <w:t xml:space="preserve"> T</w:t>
      </w:r>
      <w:r w:rsidR="00D5037B" w:rsidRPr="000A3C75">
        <w:rPr>
          <w:szCs w:val="24"/>
        </w:rPr>
        <w:t>he</w:t>
      </w:r>
      <w:r w:rsidR="002A4573">
        <w:rPr>
          <w:szCs w:val="24"/>
        </w:rPr>
        <w:t xml:space="preserve"> role of each of </w:t>
      </w:r>
      <w:r w:rsidR="001C5809">
        <w:rPr>
          <w:szCs w:val="24"/>
        </w:rPr>
        <w:t xml:space="preserve">the </w:t>
      </w:r>
      <w:r w:rsidR="00D5037B" w:rsidRPr="000A3C75">
        <w:rPr>
          <w:szCs w:val="24"/>
        </w:rPr>
        <w:t xml:space="preserve">trustee and the beneficiary in the process of foreclosing </w:t>
      </w:r>
      <w:r w:rsidR="004B752D">
        <w:rPr>
          <w:szCs w:val="24"/>
        </w:rPr>
        <w:t xml:space="preserve">on </w:t>
      </w:r>
      <w:r w:rsidR="00D5037B" w:rsidRPr="000A3C75">
        <w:rPr>
          <w:szCs w:val="24"/>
        </w:rPr>
        <w:t>a deed of trust</w:t>
      </w:r>
      <w:r w:rsidR="002A4573">
        <w:rPr>
          <w:szCs w:val="24"/>
        </w:rPr>
        <w:t xml:space="preserve"> must be evaluated to determine which view is correct</w:t>
      </w:r>
      <w:r w:rsidR="006A167C">
        <w:rPr>
          <w:szCs w:val="24"/>
        </w:rPr>
        <w:t xml:space="preserve">. </w:t>
      </w:r>
    </w:p>
    <w:p w:rsidR="006A167C" w:rsidRPr="00D63089" w:rsidRDefault="006A167C" w:rsidP="00F466C9">
      <w:pPr>
        <w:widowControl/>
        <w:spacing w:line="480" w:lineRule="exact"/>
        <w:ind w:firstLine="720"/>
        <w:rPr>
          <w:szCs w:val="24"/>
        </w:rPr>
      </w:pPr>
      <w:r>
        <w:rPr>
          <w:szCs w:val="24"/>
        </w:rPr>
        <w:t>U</w:t>
      </w:r>
      <w:r w:rsidR="005E7CC3" w:rsidRPr="000A3C75">
        <w:rPr>
          <w:szCs w:val="24"/>
        </w:rPr>
        <w:t>nder the</w:t>
      </w:r>
      <w:r w:rsidR="005E7CC3">
        <w:rPr>
          <w:szCs w:val="24"/>
        </w:rPr>
        <w:t xml:space="preserve"> conveyance language of the d</w:t>
      </w:r>
      <w:r w:rsidR="005E7CC3" w:rsidRPr="000A3C75">
        <w:rPr>
          <w:szCs w:val="24"/>
        </w:rPr>
        <w:t>eed of trust</w:t>
      </w:r>
      <w:r w:rsidR="005E7CC3">
        <w:rPr>
          <w:szCs w:val="24"/>
        </w:rPr>
        <w:t>, t</w:t>
      </w:r>
      <w:r w:rsidR="00D5037B" w:rsidRPr="000A3C75">
        <w:rPr>
          <w:szCs w:val="24"/>
        </w:rPr>
        <w:t xml:space="preserve">he trustee is conveyed </w:t>
      </w:r>
      <w:r w:rsidR="00CD1B14">
        <w:rPr>
          <w:szCs w:val="24"/>
        </w:rPr>
        <w:t xml:space="preserve">legal </w:t>
      </w:r>
      <w:r w:rsidR="00D5037B" w:rsidRPr="000A3C75">
        <w:rPr>
          <w:szCs w:val="24"/>
        </w:rPr>
        <w:t>title with power of sale</w:t>
      </w:r>
      <w:r w:rsidR="005E7CC3">
        <w:rPr>
          <w:szCs w:val="24"/>
        </w:rPr>
        <w:t>. This conveyance language</w:t>
      </w:r>
      <w:r>
        <w:rPr>
          <w:szCs w:val="24"/>
        </w:rPr>
        <w:t xml:space="preserve"> is </w:t>
      </w:r>
      <w:r w:rsidR="005E7CC3">
        <w:rPr>
          <w:szCs w:val="24"/>
        </w:rPr>
        <w:t xml:space="preserve">what Defendants rely upon to conclude the trustee holds the power of sale. </w:t>
      </w:r>
      <w:r w:rsidR="00721E1D">
        <w:rPr>
          <w:szCs w:val="24"/>
        </w:rPr>
        <w:t>The trustee only holds legal title, however, not actual title</w:t>
      </w:r>
      <w:r w:rsidR="00721E1D" w:rsidRPr="000A3C75">
        <w:rPr>
          <w:szCs w:val="24"/>
        </w:rPr>
        <w:t>.</w:t>
      </w:r>
      <w:r w:rsidR="00A0562B">
        <w:rPr>
          <w:szCs w:val="24"/>
        </w:rPr>
        <w:t xml:space="preserve"> </w:t>
      </w:r>
      <w:r w:rsidR="00A0562B">
        <w:rPr>
          <w:i/>
          <w:szCs w:val="24"/>
        </w:rPr>
        <w:t>See</w:t>
      </w:r>
      <w:r w:rsidR="00721E1D" w:rsidRPr="000A3C75">
        <w:rPr>
          <w:szCs w:val="24"/>
        </w:rPr>
        <w:t xml:space="preserve"> </w:t>
      </w:r>
      <w:r w:rsidR="00721E1D" w:rsidRPr="000A3C75">
        <w:rPr>
          <w:i/>
          <w:szCs w:val="24"/>
        </w:rPr>
        <w:t>Olympic Fed</w:t>
      </w:r>
      <w:r w:rsidR="00D41790">
        <w:rPr>
          <w:i/>
          <w:szCs w:val="24"/>
        </w:rPr>
        <w:t>.</w:t>
      </w:r>
      <w:r w:rsidR="00721E1D" w:rsidRPr="000A3C75">
        <w:rPr>
          <w:i/>
          <w:szCs w:val="24"/>
        </w:rPr>
        <w:t xml:space="preserve"> Sav. &amp; Loan Asso</w:t>
      </w:r>
      <w:r w:rsidR="00CD6D4D">
        <w:rPr>
          <w:i/>
          <w:szCs w:val="24"/>
        </w:rPr>
        <w:t>c</w:t>
      </w:r>
      <w:r w:rsidR="00721E1D" w:rsidRPr="000A3C75">
        <w:rPr>
          <w:i/>
          <w:szCs w:val="24"/>
        </w:rPr>
        <w:t>. v. Regan,</w:t>
      </w:r>
      <w:r w:rsidR="00721E1D" w:rsidRPr="000A3C75">
        <w:rPr>
          <w:szCs w:val="24"/>
        </w:rPr>
        <w:t xml:space="preserve"> 648 F.2d 1218, 1221 (9th Cir. </w:t>
      </w:r>
      <w:r w:rsidR="00721E1D" w:rsidRPr="00CD6D4D">
        <w:rPr>
          <w:szCs w:val="24"/>
        </w:rPr>
        <w:t xml:space="preserve">1981) (relying upon </w:t>
      </w:r>
      <w:r w:rsidR="00721E1D" w:rsidRPr="00CD6D4D">
        <w:rPr>
          <w:i/>
          <w:szCs w:val="24"/>
        </w:rPr>
        <w:t>Bank of Italy</w:t>
      </w:r>
      <w:r w:rsidR="00CD6D4D" w:rsidRPr="00CD6D4D">
        <w:rPr>
          <w:i/>
          <w:szCs w:val="24"/>
        </w:rPr>
        <w:t xml:space="preserve">, </w:t>
      </w:r>
      <w:r w:rsidR="00CD6D4D" w:rsidRPr="00CD6D4D">
        <w:rPr>
          <w:szCs w:val="24"/>
        </w:rPr>
        <w:t xml:space="preserve">217 Cal. 644, </w:t>
      </w:r>
      <w:r w:rsidR="00721E1D" w:rsidRPr="00CD6D4D">
        <w:rPr>
          <w:szCs w:val="24"/>
        </w:rPr>
        <w:t>to hold mortgages and deeds of trust are "legally identical," so that the borrower retains actual</w:t>
      </w:r>
      <w:r w:rsidR="00721E1D" w:rsidRPr="000A3C75">
        <w:rPr>
          <w:szCs w:val="24"/>
        </w:rPr>
        <w:t xml:space="preserve"> title to the property)</w:t>
      </w:r>
      <w:r w:rsidR="00721E1D">
        <w:rPr>
          <w:szCs w:val="24"/>
        </w:rPr>
        <w:t xml:space="preserve">. And </w:t>
      </w:r>
      <w:r w:rsidR="00721E1D" w:rsidRPr="000A3C75">
        <w:rPr>
          <w:szCs w:val="24"/>
        </w:rPr>
        <w:t xml:space="preserve">the title held by the trustee is mere technical title, which is transferred "only so far as may be necessary to the execution of the trust." </w:t>
      </w:r>
      <w:r w:rsidR="00721E1D" w:rsidRPr="000A3C75">
        <w:rPr>
          <w:i/>
          <w:szCs w:val="24"/>
        </w:rPr>
        <w:t>Monterey</w:t>
      </w:r>
      <w:r w:rsidR="00721E1D" w:rsidRPr="000A3C75">
        <w:rPr>
          <w:szCs w:val="24"/>
        </w:rPr>
        <w:t xml:space="preserve">, 49 Cal.3d at 460 (quoting </w:t>
      </w:r>
      <w:r w:rsidR="00721E1D" w:rsidRPr="000A3C75">
        <w:rPr>
          <w:i/>
          <w:szCs w:val="24"/>
        </w:rPr>
        <w:t>Lupertino v. Carbahal</w:t>
      </w:r>
      <w:r w:rsidR="00721E1D" w:rsidRPr="000A3C75">
        <w:rPr>
          <w:szCs w:val="24"/>
        </w:rPr>
        <w:t>, 35 Cal.App.3d 742, 748 (</w:t>
      </w:r>
      <w:r w:rsidR="00721E1D" w:rsidRPr="000A3C75">
        <w:rPr>
          <w:szCs w:val="24"/>
          <w:lang w:val="en-CA"/>
        </w:rPr>
        <w:fldChar w:fldCharType="begin"/>
      </w:r>
      <w:r w:rsidR="00721E1D" w:rsidRPr="000A3C75">
        <w:rPr>
          <w:szCs w:val="24"/>
          <w:lang w:val="en-CA"/>
        </w:rPr>
        <w:instrText xml:space="preserve"> SEQ CHAPTER \h \r 1</w:instrText>
      </w:r>
      <w:r w:rsidR="00721E1D" w:rsidRPr="000A3C75">
        <w:rPr>
          <w:szCs w:val="24"/>
          <w:lang w:val="en-CA"/>
        </w:rPr>
        <w:fldChar w:fldCharType="end"/>
      </w:r>
      <w:r w:rsidR="00721E1D">
        <w:rPr>
          <w:szCs w:val="24"/>
        </w:rPr>
        <w:t>Cal. App. 3d Dist. 1973)).</w:t>
      </w:r>
      <w:r w:rsidR="00721E1D" w:rsidRPr="000A3C75">
        <w:rPr>
          <w:szCs w:val="24"/>
        </w:rPr>
        <w:t xml:space="preserve"> </w:t>
      </w:r>
      <w:r>
        <w:rPr>
          <w:szCs w:val="24"/>
        </w:rPr>
        <w:t xml:space="preserve">In fact, the trustee's role </w:t>
      </w:r>
      <w:r w:rsidR="002D5FF6">
        <w:rPr>
          <w:szCs w:val="24"/>
        </w:rPr>
        <w:t xml:space="preserve">as a "trustee" </w:t>
      </w:r>
      <w:r>
        <w:rPr>
          <w:szCs w:val="24"/>
        </w:rPr>
        <w:t xml:space="preserve">has been described in </w:t>
      </w:r>
      <w:r>
        <w:rPr>
          <w:i/>
          <w:szCs w:val="24"/>
        </w:rPr>
        <w:t xml:space="preserve">Monterey, id. </w:t>
      </w:r>
      <w:r>
        <w:rPr>
          <w:szCs w:val="24"/>
        </w:rPr>
        <w:t>at</w:t>
      </w:r>
      <w:r w:rsidR="00B122E6">
        <w:rPr>
          <w:szCs w:val="24"/>
        </w:rPr>
        <w:t xml:space="preserve"> 464,</w:t>
      </w:r>
      <w:r>
        <w:rPr>
          <w:i/>
          <w:szCs w:val="24"/>
        </w:rPr>
        <w:t xml:space="preserve"> </w:t>
      </w:r>
      <w:r w:rsidR="00A0562B">
        <w:rPr>
          <w:szCs w:val="24"/>
        </w:rPr>
        <w:t xml:space="preserve">as </w:t>
      </w:r>
      <w:r>
        <w:rPr>
          <w:szCs w:val="24"/>
        </w:rPr>
        <w:t>being one of terminology rather than substance</w:t>
      </w:r>
      <w:r w:rsidR="00B122E6">
        <w:rPr>
          <w:szCs w:val="24"/>
        </w:rPr>
        <w:t xml:space="preserve"> in regards to the differences between deeds of trust and mortgages.</w:t>
      </w:r>
      <w:r>
        <w:rPr>
          <w:szCs w:val="24"/>
        </w:rPr>
        <w:t xml:space="preserve"> </w:t>
      </w:r>
      <w:r w:rsidR="00D63089" w:rsidRPr="00D41D7F">
        <w:rPr>
          <w:szCs w:val="24"/>
        </w:rPr>
        <w:t xml:space="preserve">While </w:t>
      </w:r>
      <w:r w:rsidR="00D63089" w:rsidRPr="00D41D7F">
        <w:rPr>
          <w:i/>
          <w:szCs w:val="24"/>
        </w:rPr>
        <w:t xml:space="preserve">Monterey </w:t>
      </w:r>
      <w:r w:rsidR="00D63089" w:rsidRPr="00D41D7F">
        <w:rPr>
          <w:szCs w:val="24"/>
        </w:rPr>
        <w:t xml:space="preserve">dealt with </w:t>
      </w:r>
      <w:r w:rsidR="00D41D7F">
        <w:rPr>
          <w:szCs w:val="24"/>
        </w:rPr>
        <w:t>a</w:t>
      </w:r>
      <w:r w:rsidR="00D63089" w:rsidRPr="00D41D7F">
        <w:rPr>
          <w:szCs w:val="24"/>
        </w:rPr>
        <w:t xml:space="preserve"> different context of whether the beneficiary was the real party in interest in a mechanic lien foreclosure suit, </w:t>
      </w:r>
      <w:r w:rsidR="00D41D7F" w:rsidRPr="00D41D7F">
        <w:rPr>
          <w:szCs w:val="24"/>
        </w:rPr>
        <w:t>it</w:t>
      </w:r>
      <w:r w:rsidR="001B64D8" w:rsidRPr="00D41D7F">
        <w:rPr>
          <w:szCs w:val="24"/>
        </w:rPr>
        <w:t xml:space="preserve"> reversed the lower court</w:t>
      </w:r>
      <w:r w:rsidR="00D41D7F" w:rsidRPr="00D41D7F">
        <w:rPr>
          <w:szCs w:val="24"/>
        </w:rPr>
        <w:t>'s</w:t>
      </w:r>
      <w:r w:rsidR="001B64D8" w:rsidRPr="00D41D7F">
        <w:rPr>
          <w:szCs w:val="24"/>
        </w:rPr>
        <w:t xml:space="preserve"> finding</w:t>
      </w:r>
      <w:r w:rsidR="00D41D7F" w:rsidRPr="00D41D7F">
        <w:rPr>
          <w:szCs w:val="24"/>
        </w:rPr>
        <w:t xml:space="preserve"> that service of process on </w:t>
      </w:r>
      <w:r w:rsidR="001B64D8" w:rsidRPr="00D41D7F">
        <w:rPr>
          <w:szCs w:val="24"/>
        </w:rPr>
        <w:t>the trustee</w:t>
      </w:r>
      <w:r w:rsidR="00D41D7F" w:rsidRPr="00D41D7F">
        <w:rPr>
          <w:szCs w:val="24"/>
        </w:rPr>
        <w:t xml:space="preserve"> was sufficient to protect the beneficiary</w:t>
      </w:r>
      <w:r w:rsidR="001B64D8" w:rsidRPr="00D41D7F">
        <w:rPr>
          <w:szCs w:val="24"/>
        </w:rPr>
        <w:t>'s interest</w:t>
      </w:r>
      <w:r w:rsidR="00D41D7F">
        <w:rPr>
          <w:szCs w:val="24"/>
        </w:rPr>
        <w:t>.</w:t>
      </w:r>
      <w:r w:rsidR="001B64D8">
        <w:rPr>
          <w:szCs w:val="24"/>
        </w:rPr>
        <w:t xml:space="preserve"> </w:t>
      </w:r>
    </w:p>
    <w:p w:rsidR="00294D33" w:rsidRDefault="00B122E6" w:rsidP="00046708">
      <w:pPr>
        <w:widowControl/>
        <w:spacing w:line="480" w:lineRule="exact"/>
        <w:ind w:firstLine="720"/>
        <w:rPr>
          <w:szCs w:val="24"/>
        </w:rPr>
      </w:pPr>
      <w:r>
        <w:rPr>
          <w:szCs w:val="24"/>
        </w:rPr>
        <w:lastRenderedPageBreak/>
        <w:t>The</w:t>
      </w:r>
      <w:r w:rsidR="00721E1D">
        <w:rPr>
          <w:szCs w:val="24"/>
        </w:rPr>
        <w:t xml:space="preserve"> trustee</w:t>
      </w:r>
      <w:r>
        <w:rPr>
          <w:szCs w:val="24"/>
        </w:rPr>
        <w:t>'s role in holding title and conducting the foreclosure sale</w:t>
      </w:r>
      <w:r w:rsidR="00721E1D">
        <w:rPr>
          <w:szCs w:val="24"/>
        </w:rPr>
        <w:t xml:space="preserve"> </w:t>
      </w:r>
      <w:r w:rsidR="004B752D">
        <w:rPr>
          <w:szCs w:val="24"/>
        </w:rPr>
        <w:t>does</w:t>
      </w:r>
      <w:r>
        <w:rPr>
          <w:szCs w:val="24"/>
        </w:rPr>
        <w:t xml:space="preserve"> not dictate that it h</w:t>
      </w:r>
      <w:r w:rsidR="006A167C">
        <w:rPr>
          <w:szCs w:val="24"/>
        </w:rPr>
        <w:t>olds the power of sale</w:t>
      </w:r>
      <w:r>
        <w:rPr>
          <w:szCs w:val="24"/>
        </w:rPr>
        <w:t xml:space="preserve"> under a deed of trust </w:t>
      </w:r>
      <w:r w:rsidR="004B752D">
        <w:rPr>
          <w:szCs w:val="24"/>
        </w:rPr>
        <w:t>in</w:t>
      </w:r>
      <w:r>
        <w:rPr>
          <w:szCs w:val="24"/>
        </w:rPr>
        <w:t xml:space="preserve"> </w:t>
      </w:r>
      <w:r w:rsidR="005E7CC3" w:rsidRPr="000A3C75">
        <w:rPr>
          <w:bCs/>
          <w:szCs w:val="24"/>
        </w:rPr>
        <w:t>§ 2932.5</w:t>
      </w:r>
      <w:r>
        <w:rPr>
          <w:bCs/>
          <w:szCs w:val="24"/>
        </w:rPr>
        <w:t>. By its plain language</w:t>
      </w:r>
      <w:r w:rsidR="0046219D">
        <w:rPr>
          <w:bCs/>
          <w:szCs w:val="24"/>
        </w:rPr>
        <w:t>,</w:t>
      </w:r>
      <w:r>
        <w:rPr>
          <w:bCs/>
          <w:szCs w:val="24"/>
        </w:rPr>
        <w:t xml:space="preserve"> </w:t>
      </w:r>
      <w:r w:rsidR="00721E1D">
        <w:rPr>
          <w:bCs/>
          <w:szCs w:val="24"/>
        </w:rPr>
        <w:t xml:space="preserve">that statute </w:t>
      </w:r>
      <w:r w:rsidR="005E7CC3">
        <w:rPr>
          <w:bCs/>
          <w:szCs w:val="24"/>
        </w:rPr>
        <w:t>deals with the authority to foreclose</w:t>
      </w:r>
      <w:r w:rsidR="00E9073F">
        <w:rPr>
          <w:bCs/>
          <w:szCs w:val="24"/>
        </w:rPr>
        <w:t xml:space="preserve"> under an assigned security interest,</w:t>
      </w:r>
      <w:r w:rsidR="00721E1D">
        <w:rPr>
          <w:bCs/>
          <w:szCs w:val="24"/>
        </w:rPr>
        <w:t xml:space="preserve"> </w:t>
      </w:r>
      <w:r>
        <w:rPr>
          <w:bCs/>
          <w:szCs w:val="24"/>
        </w:rPr>
        <w:t xml:space="preserve">rather than </w:t>
      </w:r>
      <w:r w:rsidR="00294D33">
        <w:rPr>
          <w:bCs/>
          <w:szCs w:val="24"/>
        </w:rPr>
        <w:t xml:space="preserve">title issues or </w:t>
      </w:r>
      <w:r w:rsidR="00E9073F">
        <w:rPr>
          <w:bCs/>
          <w:szCs w:val="24"/>
        </w:rPr>
        <w:t>the conduct of the sale:</w:t>
      </w:r>
      <w:r>
        <w:rPr>
          <w:bCs/>
          <w:szCs w:val="24"/>
        </w:rPr>
        <w:t xml:space="preserve"> "</w:t>
      </w:r>
      <w:r w:rsidRPr="000A3C75">
        <w:rPr>
          <w:szCs w:val="24"/>
        </w:rPr>
        <w:t xml:space="preserve">The </w:t>
      </w:r>
      <w:r w:rsidRPr="000A3C75">
        <w:rPr>
          <w:b/>
          <w:i/>
          <w:szCs w:val="24"/>
        </w:rPr>
        <w:t>power of sale</w:t>
      </w:r>
      <w:r w:rsidRPr="000A3C75">
        <w:rPr>
          <w:szCs w:val="24"/>
        </w:rPr>
        <w:t xml:space="preserve"> may be exercised by the assignee if the assignment is</w:t>
      </w:r>
      <w:r>
        <w:rPr>
          <w:szCs w:val="24"/>
        </w:rPr>
        <w:t xml:space="preserve"> duly acknowledged and recorded."</w:t>
      </w:r>
      <w:r w:rsidR="005E7CC3">
        <w:rPr>
          <w:bCs/>
          <w:szCs w:val="24"/>
        </w:rPr>
        <w:t xml:space="preserve"> </w:t>
      </w:r>
      <w:r w:rsidR="00E9073F" w:rsidRPr="000A3C75">
        <w:rPr>
          <w:bCs/>
          <w:szCs w:val="24"/>
        </w:rPr>
        <w:t>§ 2932.5</w:t>
      </w:r>
      <w:r w:rsidR="00E9073F">
        <w:rPr>
          <w:bCs/>
          <w:szCs w:val="24"/>
        </w:rPr>
        <w:t xml:space="preserve"> (emphasis added).  </w:t>
      </w:r>
      <w:r w:rsidR="00046708" w:rsidRPr="00440735">
        <w:rPr>
          <w:szCs w:val="24"/>
        </w:rPr>
        <w:t xml:space="preserve">The word </w:t>
      </w:r>
      <w:r w:rsidR="00046708" w:rsidRPr="00440735">
        <w:rPr>
          <w:color w:val="000000"/>
          <w:szCs w:val="24"/>
        </w:rPr>
        <w:t xml:space="preserve">"power" is synonymous with the words "authority," "control," and "ability." </w:t>
      </w:r>
      <w:r w:rsidR="00D76DA1">
        <w:rPr>
          <w:color w:val="000000"/>
          <w:szCs w:val="24"/>
        </w:rPr>
        <w:t xml:space="preserve">WEBSTER'S NEW </w:t>
      </w:r>
      <w:r w:rsidR="00046708" w:rsidRPr="00440735">
        <w:rPr>
          <w:caps/>
          <w:color w:val="000000"/>
          <w:szCs w:val="24"/>
        </w:rPr>
        <w:t xml:space="preserve">Roget's </w:t>
      </w:r>
      <w:r w:rsidR="00D76DA1">
        <w:rPr>
          <w:caps/>
          <w:color w:val="000000"/>
          <w:szCs w:val="24"/>
        </w:rPr>
        <w:t xml:space="preserve">A-Z </w:t>
      </w:r>
      <w:r w:rsidR="00046708" w:rsidRPr="00440735">
        <w:rPr>
          <w:caps/>
          <w:color w:val="000000"/>
          <w:szCs w:val="24"/>
        </w:rPr>
        <w:t>Thesaurus</w:t>
      </w:r>
      <w:r w:rsidR="00D76DA1">
        <w:rPr>
          <w:color w:val="000000"/>
          <w:szCs w:val="24"/>
        </w:rPr>
        <w:t xml:space="preserve"> 322</w:t>
      </w:r>
      <w:r w:rsidR="00046708" w:rsidRPr="00440735">
        <w:rPr>
          <w:color w:val="000000"/>
          <w:szCs w:val="24"/>
        </w:rPr>
        <w:t xml:space="preserve"> (</w:t>
      </w:r>
      <w:r w:rsidR="00D76DA1">
        <w:rPr>
          <w:color w:val="000000"/>
          <w:szCs w:val="24"/>
        </w:rPr>
        <w:t>3rd</w:t>
      </w:r>
      <w:r w:rsidR="00046708" w:rsidRPr="00440735">
        <w:rPr>
          <w:color w:val="000000"/>
          <w:szCs w:val="24"/>
        </w:rPr>
        <w:t xml:space="preserve"> ed. </w:t>
      </w:r>
      <w:r w:rsidR="00D76DA1">
        <w:rPr>
          <w:color w:val="000000"/>
          <w:szCs w:val="24"/>
        </w:rPr>
        <w:t>2003</w:t>
      </w:r>
      <w:r w:rsidR="00046708" w:rsidRPr="00440735">
        <w:rPr>
          <w:color w:val="000000"/>
          <w:szCs w:val="24"/>
        </w:rPr>
        <w:t>)</w:t>
      </w:r>
      <w:r w:rsidR="00046708" w:rsidRPr="00440735">
        <w:rPr>
          <w:iCs/>
          <w:szCs w:val="24"/>
        </w:rPr>
        <w:t xml:space="preserve">. These synonyms help interpret the statute. </w:t>
      </w:r>
      <w:r w:rsidR="00046708" w:rsidRPr="00440735">
        <w:rPr>
          <w:i/>
          <w:iCs/>
          <w:szCs w:val="24"/>
        </w:rPr>
        <w:t>See</w:t>
      </w:r>
      <w:r w:rsidR="00046708" w:rsidRPr="00440735">
        <w:rPr>
          <w:iCs/>
          <w:szCs w:val="24"/>
        </w:rPr>
        <w:t xml:space="preserve"> </w:t>
      </w:r>
      <w:r w:rsidR="00046708" w:rsidRPr="00440735">
        <w:rPr>
          <w:i/>
          <w:iCs/>
          <w:szCs w:val="24"/>
        </w:rPr>
        <w:t>S</w:t>
      </w:r>
      <w:r w:rsidR="00046708" w:rsidRPr="00440735">
        <w:rPr>
          <w:i/>
          <w:szCs w:val="24"/>
        </w:rPr>
        <w:t>chmidt v. Contra Costa Cnty</w:t>
      </w:r>
      <w:r w:rsidR="00A00B16">
        <w:rPr>
          <w:i/>
          <w:szCs w:val="24"/>
        </w:rPr>
        <w:t>.</w:t>
      </w:r>
      <w:r w:rsidR="00046708" w:rsidRPr="00440735">
        <w:rPr>
          <w:szCs w:val="24"/>
        </w:rPr>
        <w:t xml:space="preserve">, 693 F.3d 1122, 1135 (9th Cir. 2012) (using the plain meaning of words from the dictionary to define an undefined term in a California statute); </w:t>
      </w:r>
      <w:r w:rsidR="005F0F8C" w:rsidRPr="005F0F8C">
        <w:rPr>
          <w:i/>
          <w:szCs w:val="24"/>
        </w:rPr>
        <w:t>accord</w:t>
      </w:r>
      <w:r w:rsidR="005F0F8C">
        <w:rPr>
          <w:szCs w:val="24"/>
        </w:rPr>
        <w:t xml:space="preserve"> </w:t>
      </w:r>
      <w:r w:rsidR="00046708" w:rsidRPr="00440735">
        <w:rPr>
          <w:i/>
          <w:szCs w:val="24"/>
        </w:rPr>
        <w:t>Greenwood v. CompuCredit Corp</w:t>
      </w:r>
      <w:r w:rsidR="00046708" w:rsidRPr="00440735">
        <w:rPr>
          <w:szCs w:val="24"/>
        </w:rPr>
        <w:t>., 615 F.3d 1204, 1207 (9th Cir. 2010)</w:t>
      </w:r>
      <w:r w:rsidR="005F0F8C">
        <w:rPr>
          <w:szCs w:val="24"/>
        </w:rPr>
        <w:t>.</w:t>
      </w:r>
      <w:r w:rsidR="00046708" w:rsidRPr="00440735">
        <w:rPr>
          <w:szCs w:val="24"/>
        </w:rPr>
        <w:t xml:space="preserve"> </w:t>
      </w:r>
    </w:p>
    <w:p w:rsidR="00046708" w:rsidRPr="00440735" w:rsidRDefault="00046708" w:rsidP="00046708">
      <w:pPr>
        <w:widowControl/>
        <w:spacing w:line="480" w:lineRule="exact"/>
        <w:ind w:firstLine="720"/>
        <w:rPr>
          <w:bCs/>
          <w:szCs w:val="24"/>
        </w:rPr>
      </w:pPr>
      <w:r w:rsidRPr="00440735">
        <w:rPr>
          <w:szCs w:val="24"/>
        </w:rPr>
        <w:t>To illustrate</w:t>
      </w:r>
      <w:r w:rsidR="00E9073F">
        <w:rPr>
          <w:szCs w:val="24"/>
        </w:rPr>
        <w:t xml:space="preserve"> why the statute prescribes the authority to foreclose</w:t>
      </w:r>
      <w:r w:rsidRPr="00440735">
        <w:rPr>
          <w:szCs w:val="24"/>
        </w:rPr>
        <w:t>, sim</w:t>
      </w:r>
      <w:r w:rsidRPr="00440735">
        <w:rPr>
          <w:bCs/>
          <w:szCs w:val="24"/>
        </w:rPr>
        <w:t>ply replacing the word "power" with its synonym "authority</w:t>
      </w:r>
      <w:r w:rsidR="00E9073F">
        <w:rPr>
          <w:bCs/>
          <w:szCs w:val="24"/>
        </w:rPr>
        <w:t>.</w:t>
      </w:r>
      <w:r w:rsidRPr="00440735">
        <w:rPr>
          <w:bCs/>
          <w:szCs w:val="24"/>
        </w:rPr>
        <w:t>"</w:t>
      </w:r>
      <w:r w:rsidR="00E9073F">
        <w:rPr>
          <w:bCs/>
          <w:szCs w:val="24"/>
        </w:rPr>
        <w:t xml:space="preserve"> This illustration</w:t>
      </w:r>
      <w:r w:rsidRPr="00440735">
        <w:rPr>
          <w:bCs/>
          <w:szCs w:val="24"/>
        </w:rPr>
        <w:t xml:space="preserve"> demonstrates how the beneficiary must be interpreted as holding the power of sale because its role is no different from a mortgagee: </w:t>
      </w:r>
    </w:p>
    <w:p w:rsidR="00046708" w:rsidRDefault="00046708" w:rsidP="00046708">
      <w:pPr>
        <w:widowControl/>
        <w:spacing w:line="240" w:lineRule="auto"/>
        <w:ind w:left="720"/>
        <w:rPr>
          <w:szCs w:val="24"/>
        </w:rPr>
      </w:pPr>
    </w:p>
    <w:p w:rsidR="00046708" w:rsidRDefault="00046708" w:rsidP="00090D69">
      <w:pPr>
        <w:widowControl/>
        <w:spacing w:line="240" w:lineRule="auto"/>
        <w:ind w:left="1440" w:right="1620"/>
        <w:rPr>
          <w:szCs w:val="24"/>
        </w:rPr>
      </w:pPr>
      <w:r w:rsidRPr="00440735">
        <w:rPr>
          <w:szCs w:val="24"/>
        </w:rPr>
        <w:t xml:space="preserve">Where </w:t>
      </w:r>
      <w:r w:rsidRPr="00440735">
        <w:rPr>
          <w:b/>
          <w:bCs/>
          <w:i/>
          <w:szCs w:val="24"/>
        </w:rPr>
        <w:t xml:space="preserve">authority </w:t>
      </w:r>
      <w:r w:rsidRPr="00440735">
        <w:rPr>
          <w:bCs/>
          <w:szCs w:val="24"/>
        </w:rPr>
        <w:t>to sell</w:t>
      </w:r>
      <w:r w:rsidRPr="00440735">
        <w:rPr>
          <w:szCs w:val="24"/>
        </w:rPr>
        <w:t xml:space="preserve"> real property is given to a mortgagee, or other encumbrancer, in an instrument intended to secure the payment of money, the </w:t>
      </w:r>
      <w:r w:rsidRPr="00440735">
        <w:rPr>
          <w:b/>
          <w:i/>
          <w:szCs w:val="24"/>
        </w:rPr>
        <w:t xml:space="preserve">authority </w:t>
      </w:r>
      <w:r w:rsidRPr="00440735">
        <w:rPr>
          <w:szCs w:val="24"/>
        </w:rPr>
        <w:t xml:space="preserve">is part of the security and vests in any person who by assignment becomes entitled to payment of the money secured by the instrument. The </w:t>
      </w:r>
      <w:r w:rsidRPr="00440735">
        <w:rPr>
          <w:b/>
          <w:bCs/>
          <w:i/>
          <w:szCs w:val="24"/>
        </w:rPr>
        <w:t xml:space="preserve">authority </w:t>
      </w:r>
      <w:r w:rsidRPr="00440735">
        <w:rPr>
          <w:bCs/>
          <w:szCs w:val="24"/>
        </w:rPr>
        <w:t>to sell</w:t>
      </w:r>
      <w:r w:rsidRPr="00440735">
        <w:rPr>
          <w:szCs w:val="24"/>
        </w:rPr>
        <w:t xml:space="preserve"> may be exercised by the assignee if the assignment is duly acknowledged and recorded.</w:t>
      </w:r>
    </w:p>
    <w:p w:rsidR="0046219D" w:rsidRDefault="0046219D" w:rsidP="00090D69">
      <w:pPr>
        <w:widowControl/>
        <w:spacing w:line="240" w:lineRule="auto"/>
        <w:ind w:left="1440" w:right="1620"/>
        <w:rPr>
          <w:szCs w:val="24"/>
        </w:rPr>
      </w:pPr>
    </w:p>
    <w:p w:rsidR="00046708" w:rsidRDefault="00E9073F" w:rsidP="00046708">
      <w:pPr>
        <w:widowControl/>
        <w:spacing w:line="480" w:lineRule="exact"/>
        <w:ind w:firstLine="720"/>
        <w:rPr>
          <w:szCs w:val="24"/>
        </w:rPr>
      </w:pPr>
      <w:r>
        <w:rPr>
          <w:bCs/>
          <w:szCs w:val="24"/>
        </w:rPr>
        <w:t>Putting the statute in the proper context, t</w:t>
      </w:r>
      <w:r w:rsidR="00046708">
        <w:rPr>
          <w:bCs/>
          <w:szCs w:val="24"/>
        </w:rPr>
        <w:t>here can be no real dispute that the beneficiary, not the trustee</w:t>
      </w:r>
      <w:r w:rsidR="005F0F8C">
        <w:rPr>
          <w:bCs/>
          <w:szCs w:val="24"/>
        </w:rPr>
        <w:t>,</w:t>
      </w:r>
      <w:r w:rsidR="00046708">
        <w:rPr>
          <w:bCs/>
          <w:szCs w:val="24"/>
        </w:rPr>
        <w:t xml:space="preserve"> holds </w:t>
      </w:r>
      <w:r>
        <w:rPr>
          <w:bCs/>
          <w:szCs w:val="24"/>
        </w:rPr>
        <w:t xml:space="preserve">the power of sale because it holds </w:t>
      </w:r>
      <w:r w:rsidR="00046708">
        <w:rPr>
          <w:bCs/>
          <w:szCs w:val="24"/>
        </w:rPr>
        <w:t xml:space="preserve">the authority to foreclose. The California Supreme Court has so held. </w:t>
      </w:r>
      <w:r w:rsidR="00A0562B" w:rsidRPr="00A0562B">
        <w:rPr>
          <w:bCs/>
          <w:i/>
          <w:szCs w:val="24"/>
        </w:rPr>
        <w:t>See</w:t>
      </w:r>
      <w:r w:rsidR="00A0562B">
        <w:rPr>
          <w:bCs/>
          <w:szCs w:val="24"/>
        </w:rPr>
        <w:t xml:space="preserve"> </w:t>
      </w:r>
      <w:r w:rsidR="00FF5B7C" w:rsidRPr="000A3C75">
        <w:rPr>
          <w:i/>
          <w:szCs w:val="24"/>
        </w:rPr>
        <w:t xml:space="preserve">Monterey, </w:t>
      </w:r>
      <w:r w:rsidR="00FF5B7C" w:rsidRPr="000A3C75">
        <w:rPr>
          <w:szCs w:val="24"/>
        </w:rPr>
        <w:t xml:space="preserve">49 Cal. 3d at 460 (only "on proper request from the beneficiaries," can the trustee "exercise the power of sale contained in the deed of trust"); </w:t>
      </w:r>
      <w:r w:rsidR="00FF5B7C" w:rsidRPr="000A3C75">
        <w:rPr>
          <w:i/>
          <w:szCs w:val="24"/>
        </w:rPr>
        <w:t>Burns v. Peters</w:t>
      </w:r>
      <w:r w:rsidR="00FF5B7C" w:rsidRPr="000A3C75">
        <w:rPr>
          <w:szCs w:val="24"/>
        </w:rPr>
        <w:t xml:space="preserve">, 5 Cal. 2d 619, 625 (Cal. 1936) (a foreclosure sale by a different trustee than </w:t>
      </w:r>
      <w:r w:rsidR="00294D33">
        <w:rPr>
          <w:szCs w:val="24"/>
        </w:rPr>
        <w:t xml:space="preserve">the one </w:t>
      </w:r>
      <w:r w:rsidR="00FF5B7C" w:rsidRPr="000A3C75">
        <w:rPr>
          <w:szCs w:val="24"/>
        </w:rPr>
        <w:t xml:space="preserve">specifically named in the deed of trust was nevertheless valid because the beneficiary, as a "principal" party, supported </w:t>
      </w:r>
      <w:r w:rsidR="00294D33">
        <w:rPr>
          <w:szCs w:val="24"/>
        </w:rPr>
        <w:t>the sale</w:t>
      </w:r>
      <w:r w:rsidR="00FF5B7C" w:rsidRPr="000A3C75">
        <w:rPr>
          <w:szCs w:val="24"/>
        </w:rPr>
        <w:t xml:space="preserve">); </w:t>
      </w:r>
      <w:r w:rsidR="00FF5B7C" w:rsidRPr="000A3C75">
        <w:rPr>
          <w:i/>
          <w:szCs w:val="24"/>
        </w:rPr>
        <w:t>Jones v. First Am. Title Ins. Co.</w:t>
      </w:r>
      <w:r w:rsidR="00356D05">
        <w:rPr>
          <w:szCs w:val="24"/>
        </w:rPr>
        <w:t>, 107 Cal.App.4th 381,</w:t>
      </w:r>
      <w:r w:rsidR="00FF5B7C" w:rsidRPr="000A3C75">
        <w:rPr>
          <w:szCs w:val="24"/>
        </w:rPr>
        <w:t xml:space="preserve"> 389 (Cal. App. 2d Dist. 2003) (principles of reformation may validate a foreclosure sale under section 2934a by the incorrect trustee because the beneficiary is the principal party)</w:t>
      </w:r>
      <w:r w:rsidR="00A0562B">
        <w:rPr>
          <w:szCs w:val="24"/>
        </w:rPr>
        <w:t xml:space="preserve">. </w:t>
      </w:r>
      <w:r w:rsidR="00A0562B" w:rsidRPr="00A0562B">
        <w:rPr>
          <w:i/>
          <w:szCs w:val="24"/>
        </w:rPr>
        <w:t>But see</w:t>
      </w:r>
      <w:r w:rsidR="00FF5B7C" w:rsidRPr="000A3C75">
        <w:rPr>
          <w:i/>
          <w:szCs w:val="24"/>
        </w:rPr>
        <w:t xml:space="preserve"> </w:t>
      </w:r>
      <w:r w:rsidR="00FF5B7C" w:rsidRPr="000A3C75">
        <w:rPr>
          <w:i/>
          <w:szCs w:val="24"/>
        </w:rPr>
        <w:lastRenderedPageBreak/>
        <w:t>Dimock v. Emerald Prop</w:t>
      </w:r>
      <w:r w:rsidR="00A00B16">
        <w:rPr>
          <w:i/>
          <w:szCs w:val="24"/>
        </w:rPr>
        <w:t>s.</w:t>
      </w:r>
      <w:r w:rsidR="00FF5B7C" w:rsidRPr="000A3C75">
        <w:rPr>
          <w:i/>
          <w:szCs w:val="24"/>
        </w:rPr>
        <w:t xml:space="preserve">, </w:t>
      </w:r>
      <w:r w:rsidR="00FF5B7C" w:rsidRPr="000A3C75">
        <w:rPr>
          <w:szCs w:val="24"/>
        </w:rPr>
        <w:t xml:space="preserve">81 Cal.App.4th 868, 877 (Cal. App. 4th Dist. 2000) (distinguished by </w:t>
      </w:r>
      <w:r w:rsidR="00FF5B7C" w:rsidRPr="000A3C75">
        <w:rPr>
          <w:i/>
          <w:szCs w:val="24"/>
        </w:rPr>
        <w:t>Jones</w:t>
      </w:r>
      <w:r w:rsidR="00FF5B7C" w:rsidRPr="000A3C75">
        <w:rPr>
          <w:szCs w:val="24"/>
        </w:rPr>
        <w:t>,</w:t>
      </w:r>
      <w:r w:rsidR="000D3781">
        <w:rPr>
          <w:szCs w:val="24"/>
        </w:rPr>
        <w:t xml:space="preserve"> </w:t>
      </w:r>
      <w:r w:rsidR="00FF5B7C" w:rsidRPr="000A3C75">
        <w:rPr>
          <w:szCs w:val="24"/>
        </w:rPr>
        <w:t>107 Cal.App.4th at 383,</w:t>
      </w:r>
      <w:r w:rsidR="00FF5B7C" w:rsidRPr="000A3C75">
        <w:rPr>
          <w:i/>
          <w:szCs w:val="24"/>
        </w:rPr>
        <w:t xml:space="preserve"> </w:t>
      </w:r>
      <w:r w:rsidR="00FF5B7C" w:rsidRPr="000A3C75">
        <w:rPr>
          <w:szCs w:val="24"/>
        </w:rPr>
        <w:t>for failing to consider reformation).</w:t>
      </w:r>
      <w:r w:rsidR="00046708">
        <w:rPr>
          <w:szCs w:val="24"/>
        </w:rPr>
        <w:t xml:space="preserve"> </w:t>
      </w:r>
    </w:p>
    <w:p w:rsidR="00046708" w:rsidRDefault="00046708" w:rsidP="00046708">
      <w:pPr>
        <w:widowControl/>
        <w:spacing w:line="480" w:lineRule="exact"/>
        <w:ind w:firstLine="720"/>
        <w:rPr>
          <w:bCs/>
          <w:szCs w:val="24"/>
        </w:rPr>
      </w:pPr>
      <w:r>
        <w:rPr>
          <w:szCs w:val="24"/>
        </w:rPr>
        <w:t xml:space="preserve">The beneficiary also is given plenary authority over the foreclosure sale by statute. </w:t>
      </w:r>
      <w:r w:rsidRPr="000A3C75">
        <w:rPr>
          <w:szCs w:val="24"/>
        </w:rPr>
        <w:t xml:space="preserve">Cal. Civ. Code </w:t>
      </w:r>
      <w:r w:rsidRPr="000A3C75">
        <w:rPr>
          <w:bCs/>
          <w:szCs w:val="24"/>
        </w:rPr>
        <w:t>§ 2924(a)(6) provides in pertinent part:</w:t>
      </w:r>
    </w:p>
    <w:p w:rsidR="001C5809" w:rsidRDefault="001C5809" w:rsidP="00046708">
      <w:pPr>
        <w:widowControl/>
        <w:spacing w:line="480" w:lineRule="exact"/>
        <w:ind w:firstLine="720"/>
        <w:rPr>
          <w:bCs/>
          <w:szCs w:val="24"/>
        </w:rPr>
      </w:pPr>
    </w:p>
    <w:p w:rsidR="00046708" w:rsidRPr="000A3C75" w:rsidRDefault="00046708" w:rsidP="00090D69">
      <w:pPr>
        <w:widowControl/>
        <w:spacing w:line="240" w:lineRule="auto"/>
        <w:ind w:left="1440" w:right="1350"/>
        <w:rPr>
          <w:szCs w:val="24"/>
        </w:rPr>
      </w:pPr>
      <w:r w:rsidRPr="000A3C75">
        <w:rPr>
          <w:szCs w:val="24"/>
        </w:rPr>
        <w:t xml:space="preserve">No agent of the holder of the beneficial interest under the mortgage or deed of trust, original trustee or substituted trustee under the deed of trust may record a notice of default or otherwise commence the foreclosure process except when acting within the scope of authority designated by the holder of the beneficial </w:t>
      </w:r>
      <w:r w:rsidR="00090D69" w:rsidRPr="000A3C75">
        <w:rPr>
          <w:szCs w:val="24"/>
        </w:rPr>
        <w:t>interest.</w:t>
      </w:r>
      <w:r w:rsidR="00090D69">
        <w:rPr>
          <w:szCs w:val="24"/>
        </w:rPr>
        <w:t xml:space="preserve"> </w:t>
      </w:r>
      <w:r w:rsidR="00090D69" w:rsidRPr="000A3C75">
        <w:rPr>
          <w:bCs/>
          <w:szCs w:val="24"/>
        </w:rPr>
        <w:t>The</w:t>
      </w:r>
      <w:r w:rsidRPr="000A3C75">
        <w:rPr>
          <w:bCs/>
          <w:szCs w:val="24"/>
        </w:rPr>
        <w:t xml:space="preserve"> trustee has no ability to exercise the power of sale </w:t>
      </w:r>
      <w:r w:rsidRPr="000A3C75">
        <w:rPr>
          <w:b/>
          <w:bCs/>
          <w:i/>
          <w:szCs w:val="24"/>
        </w:rPr>
        <w:t>unless</w:t>
      </w:r>
      <w:r w:rsidRPr="000A3C75">
        <w:rPr>
          <w:bCs/>
          <w:szCs w:val="24"/>
        </w:rPr>
        <w:t xml:space="preserve"> it is authorized by the beneficiary. </w:t>
      </w:r>
    </w:p>
    <w:p w:rsidR="00046708" w:rsidRPr="000A3C75" w:rsidRDefault="00046708" w:rsidP="00046708">
      <w:pPr>
        <w:ind w:left="1440" w:right="1440"/>
        <w:rPr>
          <w:szCs w:val="24"/>
        </w:rPr>
      </w:pPr>
    </w:p>
    <w:p w:rsidR="00046708" w:rsidRPr="000A3C75" w:rsidRDefault="00294D33" w:rsidP="009B3530">
      <w:pPr>
        <w:widowControl/>
        <w:spacing w:line="480" w:lineRule="exact"/>
        <w:rPr>
          <w:szCs w:val="24"/>
        </w:rPr>
      </w:pPr>
      <w:r>
        <w:rPr>
          <w:szCs w:val="24"/>
        </w:rPr>
        <w:t xml:space="preserve">(emphasis added.) </w:t>
      </w:r>
      <w:r w:rsidR="00046708">
        <w:rPr>
          <w:szCs w:val="24"/>
        </w:rPr>
        <w:t xml:space="preserve">The trustee cannot be determined to have </w:t>
      </w:r>
      <w:r w:rsidR="00E9073F">
        <w:rPr>
          <w:szCs w:val="24"/>
        </w:rPr>
        <w:t xml:space="preserve">the power of sale </w:t>
      </w:r>
      <w:r w:rsidR="00046708">
        <w:rPr>
          <w:szCs w:val="24"/>
        </w:rPr>
        <w:t xml:space="preserve">under </w:t>
      </w:r>
      <w:r w:rsidR="00046708" w:rsidRPr="000A3C75">
        <w:rPr>
          <w:szCs w:val="24"/>
        </w:rPr>
        <w:t>§</w:t>
      </w:r>
      <w:r w:rsidR="00A0562B">
        <w:rPr>
          <w:szCs w:val="24"/>
        </w:rPr>
        <w:t> </w:t>
      </w:r>
      <w:r w:rsidR="00046708" w:rsidRPr="000A3C75">
        <w:rPr>
          <w:szCs w:val="24"/>
        </w:rPr>
        <w:t>2932.5</w:t>
      </w:r>
      <w:r w:rsidR="00046708">
        <w:rPr>
          <w:szCs w:val="24"/>
        </w:rPr>
        <w:t xml:space="preserve">, when the critical foreclosure statute </w:t>
      </w:r>
      <w:r w:rsidR="00E9073F">
        <w:rPr>
          <w:szCs w:val="24"/>
        </w:rPr>
        <w:t>gives it no authority over the foreclosure</w:t>
      </w:r>
      <w:r w:rsidR="00293E92">
        <w:rPr>
          <w:szCs w:val="24"/>
        </w:rPr>
        <w:t xml:space="preserve"> process</w:t>
      </w:r>
      <w:r w:rsidR="00E9073F">
        <w:rPr>
          <w:szCs w:val="24"/>
        </w:rPr>
        <w:t xml:space="preserve">. </w:t>
      </w:r>
      <w:r w:rsidR="00046708" w:rsidRPr="000A3C75">
        <w:rPr>
          <w:szCs w:val="24"/>
        </w:rPr>
        <w:t xml:space="preserve">Cal. Civ. Code </w:t>
      </w:r>
      <w:r w:rsidR="00046708" w:rsidRPr="000A3C75">
        <w:rPr>
          <w:bCs/>
          <w:szCs w:val="24"/>
        </w:rPr>
        <w:t>§</w:t>
      </w:r>
      <w:r w:rsidR="00E606DC">
        <w:rPr>
          <w:bCs/>
          <w:szCs w:val="24"/>
        </w:rPr>
        <w:t> </w:t>
      </w:r>
      <w:r w:rsidR="00046708" w:rsidRPr="000A3C75">
        <w:rPr>
          <w:bCs/>
          <w:szCs w:val="24"/>
        </w:rPr>
        <w:t>2924(a)(6)</w:t>
      </w:r>
      <w:r w:rsidR="00046708">
        <w:rPr>
          <w:bCs/>
          <w:szCs w:val="24"/>
        </w:rPr>
        <w:t xml:space="preserve"> is part </w:t>
      </w:r>
      <w:r w:rsidR="00046708" w:rsidRPr="000A3C75">
        <w:rPr>
          <w:bCs/>
          <w:szCs w:val="24"/>
        </w:rPr>
        <w:t>of the "</w:t>
      </w:r>
      <w:r w:rsidR="00046708" w:rsidRPr="000A3C75">
        <w:rPr>
          <w:szCs w:val="24"/>
        </w:rPr>
        <w:t xml:space="preserve">comprehensive statutory scheme regulating nonjudicial foreclosures." </w:t>
      </w:r>
      <w:r w:rsidR="00046708" w:rsidRPr="000A3C75">
        <w:rPr>
          <w:bCs/>
          <w:i/>
          <w:szCs w:val="24"/>
        </w:rPr>
        <w:t>Herrera</w:t>
      </w:r>
      <w:r w:rsidR="00046708" w:rsidRPr="000A3C75">
        <w:rPr>
          <w:bCs/>
          <w:szCs w:val="24"/>
        </w:rPr>
        <w:t>, 205 Cal.App.4th at 1505</w:t>
      </w:r>
      <w:r w:rsidR="005F0F8C">
        <w:rPr>
          <w:bCs/>
          <w:szCs w:val="24"/>
        </w:rPr>
        <w:t xml:space="preserve"> (</w:t>
      </w:r>
      <w:r w:rsidR="00127ADF" w:rsidRPr="000D3781">
        <w:rPr>
          <w:bCs/>
          <w:szCs w:val="24"/>
        </w:rPr>
        <w:t>citing</w:t>
      </w:r>
      <w:r w:rsidR="00127ADF">
        <w:rPr>
          <w:bCs/>
          <w:i/>
          <w:szCs w:val="24"/>
        </w:rPr>
        <w:t xml:space="preserve"> </w:t>
      </w:r>
      <w:r w:rsidR="00046708" w:rsidRPr="000A3C75">
        <w:rPr>
          <w:i/>
          <w:szCs w:val="24"/>
        </w:rPr>
        <w:t>Moeller v. Lien,</w:t>
      </w:r>
      <w:r w:rsidR="00046708" w:rsidRPr="000A3C75">
        <w:rPr>
          <w:szCs w:val="24"/>
        </w:rPr>
        <w:t xml:space="preserve"> 25 Cal.App.4th 822, 830-32 (Cal. App. 2d Dist. 1994)</w:t>
      </w:r>
      <w:r w:rsidR="005F0F8C">
        <w:rPr>
          <w:szCs w:val="24"/>
        </w:rPr>
        <w:t>)</w:t>
      </w:r>
      <w:r w:rsidR="00046708" w:rsidRPr="000A3C75">
        <w:rPr>
          <w:szCs w:val="24"/>
        </w:rPr>
        <w:t xml:space="preserve">. Other California foreclosure statutes </w:t>
      </w:r>
      <w:r w:rsidR="00046708">
        <w:rPr>
          <w:szCs w:val="24"/>
        </w:rPr>
        <w:t xml:space="preserve">similarly </w:t>
      </w:r>
      <w:r w:rsidR="00046708" w:rsidRPr="000A3C75">
        <w:rPr>
          <w:szCs w:val="24"/>
        </w:rPr>
        <w:t xml:space="preserve">recognize the preeminence of the beneficiary's authority over the nonjudicial foreclosure process. For example, the beneficiary holds the power to substitute the trustee, even without the trustee's consent. Cal. Civ. Code </w:t>
      </w:r>
      <w:r w:rsidR="00046708" w:rsidRPr="000A3C75">
        <w:rPr>
          <w:bCs/>
          <w:szCs w:val="24"/>
        </w:rPr>
        <w:t>§</w:t>
      </w:r>
      <w:r w:rsidR="00A0562B">
        <w:rPr>
          <w:bCs/>
          <w:szCs w:val="24"/>
        </w:rPr>
        <w:t> </w:t>
      </w:r>
      <w:r w:rsidR="00046708" w:rsidRPr="000A3C75">
        <w:rPr>
          <w:szCs w:val="24"/>
        </w:rPr>
        <w:t>2934a(d).</w:t>
      </w:r>
      <w:r w:rsidR="00046708" w:rsidRPr="000A3C75">
        <w:rPr>
          <w:rStyle w:val="FootnoteReference"/>
          <w:szCs w:val="24"/>
        </w:rPr>
        <w:footnoteReference w:id="10"/>
      </w:r>
      <w:r w:rsidR="00F55905">
        <w:rPr>
          <w:szCs w:val="24"/>
        </w:rPr>
        <w:t xml:space="preserve"> </w:t>
      </w:r>
      <w:r w:rsidR="00046708">
        <w:rPr>
          <w:szCs w:val="24"/>
        </w:rPr>
        <w:t>The parties' agreement also reflects this allocation of authority. U</w:t>
      </w:r>
      <w:r w:rsidR="00046708" w:rsidRPr="000A3C75">
        <w:rPr>
          <w:szCs w:val="24"/>
        </w:rPr>
        <w:t>nder the deed of trust</w:t>
      </w:r>
      <w:r w:rsidR="00046708">
        <w:rPr>
          <w:szCs w:val="24"/>
        </w:rPr>
        <w:t>, t</w:t>
      </w:r>
      <w:r w:rsidR="00046708" w:rsidRPr="000A3C75">
        <w:rPr>
          <w:szCs w:val="24"/>
        </w:rPr>
        <w:t>he right to "invoke" the power of sale is expressly reserved to the beneficiary</w:t>
      </w:r>
      <w:r w:rsidR="00046708">
        <w:rPr>
          <w:szCs w:val="24"/>
        </w:rPr>
        <w:t>.</w:t>
      </w:r>
      <w:r w:rsidR="00046708" w:rsidRPr="000A3C75">
        <w:rPr>
          <w:rStyle w:val="FootnoteReference"/>
          <w:szCs w:val="24"/>
        </w:rPr>
        <w:footnoteReference w:id="11"/>
      </w:r>
    </w:p>
    <w:p w:rsidR="00721E1D" w:rsidRDefault="00B83F9E" w:rsidP="007C45CF">
      <w:pPr>
        <w:widowControl/>
        <w:spacing w:line="480" w:lineRule="exact"/>
        <w:ind w:firstLine="720"/>
        <w:rPr>
          <w:iCs/>
          <w:szCs w:val="24"/>
        </w:rPr>
      </w:pPr>
      <w:r w:rsidRPr="00440735">
        <w:rPr>
          <w:bCs/>
          <w:szCs w:val="24"/>
        </w:rPr>
        <w:t xml:space="preserve">Defendants' interpretation of the statute in contrast </w:t>
      </w:r>
      <w:r w:rsidR="006A167C">
        <w:rPr>
          <w:bCs/>
          <w:szCs w:val="24"/>
        </w:rPr>
        <w:t xml:space="preserve">is difficult to harmonize with the statutory language. </w:t>
      </w:r>
      <w:r w:rsidRPr="00440735">
        <w:rPr>
          <w:szCs w:val="24"/>
        </w:rPr>
        <w:t xml:space="preserve">The recognized legal meaning of the word "power" is </w:t>
      </w:r>
      <w:r w:rsidRPr="00440735">
        <w:rPr>
          <w:color w:val="000000"/>
          <w:szCs w:val="24"/>
        </w:rPr>
        <w:t xml:space="preserve">the ability to act or not act.  </w:t>
      </w:r>
      <w:r w:rsidRPr="00440735">
        <w:rPr>
          <w:iCs/>
          <w:color w:val="000000"/>
          <w:szCs w:val="24"/>
        </w:rPr>
        <w:t>BLACK'S LAW DICTIONARY</w:t>
      </w:r>
      <w:r w:rsidRPr="00440735">
        <w:rPr>
          <w:color w:val="000000"/>
          <w:szCs w:val="24"/>
        </w:rPr>
        <w:t xml:space="preserve"> 1288 (9th ed. 2009). </w:t>
      </w:r>
      <w:r w:rsidR="00D0031D" w:rsidRPr="00440735">
        <w:rPr>
          <w:bCs/>
          <w:szCs w:val="24"/>
        </w:rPr>
        <w:t xml:space="preserve">The trustee has no </w:t>
      </w:r>
      <w:r w:rsidRPr="00440735">
        <w:rPr>
          <w:bCs/>
          <w:szCs w:val="24"/>
        </w:rPr>
        <w:t xml:space="preserve">ability or </w:t>
      </w:r>
      <w:r w:rsidR="00D0031D" w:rsidRPr="00440735">
        <w:rPr>
          <w:bCs/>
          <w:szCs w:val="24"/>
        </w:rPr>
        <w:t>power to do anything in the context of the foreclosure</w:t>
      </w:r>
      <w:r w:rsidR="00997B7B">
        <w:rPr>
          <w:bCs/>
          <w:szCs w:val="24"/>
        </w:rPr>
        <w:t>,</w:t>
      </w:r>
      <w:r w:rsidR="00D0031D" w:rsidRPr="00440735">
        <w:rPr>
          <w:bCs/>
          <w:szCs w:val="24"/>
        </w:rPr>
        <w:t xml:space="preserve"> </w:t>
      </w:r>
      <w:r w:rsidR="00994101" w:rsidRPr="00440735">
        <w:rPr>
          <w:bCs/>
          <w:szCs w:val="24"/>
        </w:rPr>
        <w:t xml:space="preserve">other than the subservient one to follow the </w:t>
      </w:r>
      <w:r w:rsidR="00994101" w:rsidRPr="00440735">
        <w:rPr>
          <w:bCs/>
          <w:szCs w:val="24"/>
        </w:rPr>
        <w:lastRenderedPageBreak/>
        <w:t xml:space="preserve">direction of the beneficiary. </w:t>
      </w:r>
      <w:r w:rsidR="00D0031D" w:rsidRPr="00440735">
        <w:rPr>
          <w:szCs w:val="24"/>
        </w:rPr>
        <w:t xml:space="preserve">Cal. Civ. Code </w:t>
      </w:r>
      <w:r w:rsidR="00D0031D" w:rsidRPr="00440735">
        <w:rPr>
          <w:bCs/>
          <w:szCs w:val="24"/>
        </w:rPr>
        <w:t>§ 2924(a)(6)</w:t>
      </w:r>
      <w:r w:rsidR="00F55905">
        <w:rPr>
          <w:bCs/>
          <w:szCs w:val="24"/>
        </w:rPr>
        <w:t xml:space="preserve">; </w:t>
      </w:r>
      <w:r w:rsidR="00A0562B" w:rsidRPr="00A0562B">
        <w:rPr>
          <w:bCs/>
          <w:i/>
          <w:szCs w:val="24"/>
        </w:rPr>
        <w:t>see also</w:t>
      </w:r>
      <w:r w:rsidR="00A0562B">
        <w:rPr>
          <w:bCs/>
          <w:szCs w:val="24"/>
        </w:rPr>
        <w:t xml:space="preserve"> </w:t>
      </w:r>
      <w:r w:rsidR="00F55905" w:rsidRPr="000A3C75">
        <w:rPr>
          <w:i/>
          <w:szCs w:val="24"/>
        </w:rPr>
        <w:t>Pro Value Prop</w:t>
      </w:r>
      <w:r w:rsidR="000D3781">
        <w:rPr>
          <w:i/>
          <w:szCs w:val="24"/>
        </w:rPr>
        <w:t>s.</w:t>
      </w:r>
      <w:r w:rsidR="00F55905" w:rsidRPr="000A3C75">
        <w:rPr>
          <w:i/>
          <w:szCs w:val="24"/>
        </w:rPr>
        <w:t>, Inc. v. Quality Loan Serv</w:t>
      </w:r>
      <w:r w:rsidR="00971EB8">
        <w:rPr>
          <w:i/>
          <w:szCs w:val="24"/>
        </w:rPr>
        <w:t>.</w:t>
      </w:r>
      <w:r w:rsidR="00F55905" w:rsidRPr="000A3C75">
        <w:rPr>
          <w:i/>
          <w:szCs w:val="24"/>
        </w:rPr>
        <w:t xml:space="preserve"> Corp., </w:t>
      </w:r>
      <w:r w:rsidR="00F55905" w:rsidRPr="000A3C75">
        <w:rPr>
          <w:szCs w:val="24"/>
        </w:rPr>
        <w:t xml:space="preserve">170 Cal.App.4th 579, 583 </w:t>
      </w:r>
      <w:r w:rsidR="00F55905" w:rsidRPr="000A3C75">
        <w:rPr>
          <w:szCs w:val="24"/>
          <w:lang w:val="en-CA"/>
        </w:rPr>
        <w:fldChar w:fldCharType="begin"/>
      </w:r>
      <w:r w:rsidR="00F55905" w:rsidRPr="000A3C75">
        <w:rPr>
          <w:szCs w:val="24"/>
          <w:lang w:val="en-CA"/>
        </w:rPr>
        <w:instrText xml:space="preserve"> SEQ CHAPTER \h \r 1</w:instrText>
      </w:r>
      <w:r w:rsidR="00F55905" w:rsidRPr="000A3C75">
        <w:rPr>
          <w:szCs w:val="24"/>
          <w:lang w:val="en-CA"/>
        </w:rPr>
        <w:fldChar w:fldCharType="end"/>
      </w:r>
      <w:r w:rsidR="00F55905" w:rsidRPr="000A3C75">
        <w:rPr>
          <w:szCs w:val="24"/>
        </w:rPr>
        <w:t>(Cal. App. 2d Dist. 2009) (</w:t>
      </w:r>
      <w:r w:rsidR="00F55905" w:rsidRPr="000A3C75">
        <w:rPr>
          <w:iCs/>
          <w:szCs w:val="24"/>
        </w:rPr>
        <w:t>the tr</w:t>
      </w:r>
      <w:r w:rsidR="00F55905" w:rsidRPr="000A3C75">
        <w:rPr>
          <w:bCs/>
          <w:szCs w:val="24"/>
        </w:rPr>
        <w:t>ustee under the deed of trust can only be considered a mere "ministerial actor"</w:t>
      </w:r>
      <w:r w:rsidR="00F55905" w:rsidRPr="000A3C75">
        <w:rPr>
          <w:szCs w:val="24"/>
        </w:rPr>
        <w:t>).</w:t>
      </w:r>
      <w:r w:rsidR="005F0F8C">
        <w:rPr>
          <w:szCs w:val="24"/>
        </w:rPr>
        <w:t xml:space="preserve"> </w:t>
      </w:r>
      <w:r w:rsidR="00D0031D" w:rsidRPr="00440735">
        <w:rPr>
          <w:bCs/>
          <w:szCs w:val="24"/>
        </w:rPr>
        <w:t xml:space="preserve">To interpret the statute deeming the trustee to have the power of sale as Defendants </w:t>
      </w:r>
      <w:r w:rsidR="00971EB8">
        <w:rPr>
          <w:bCs/>
          <w:szCs w:val="24"/>
        </w:rPr>
        <w:t>claim</w:t>
      </w:r>
      <w:r w:rsidR="00994101" w:rsidRPr="00440735">
        <w:rPr>
          <w:bCs/>
          <w:szCs w:val="24"/>
        </w:rPr>
        <w:t xml:space="preserve"> </w:t>
      </w:r>
      <w:r w:rsidR="00D0031D" w:rsidRPr="00440735">
        <w:rPr>
          <w:bCs/>
          <w:szCs w:val="24"/>
        </w:rPr>
        <w:t xml:space="preserve">would create an unviable conflict between </w:t>
      </w:r>
      <w:r w:rsidR="00994101" w:rsidRPr="00440735">
        <w:rPr>
          <w:szCs w:val="24"/>
        </w:rPr>
        <w:t xml:space="preserve">Cal. Civ. Code </w:t>
      </w:r>
      <w:r w:rsidR="00994101" w:rsidRPr="00440735">
        <w:rPr>
          <w:bCs/>
          <w:szCs w:val="24"/>
        </w:rPr>
        <w:t>§ 2924(a)(6)</w:t>
      </w:r>
      <w:r w:rsidR="00D0031D" w:rsidRPr="00440735">
        <w:rPr>
          <w:bCs/>
          <w:szCs w:val="24"/>
        </w:rPr>
        <w:t xml:space="preserve"> and </w:t>
      </w:r>
      <w:r w:rsidR="00D0031D" w:rsidRPr="00440735">
        <w:rPr>
          <w:szCs w:val="24"/>
        </w:rPr>
        <w:t xml:space="preserve">§ 2932.5. </w:t>
      </w:r>
      <w:r w:rsidR="005D3BB4" w:rsidRPr="00440735">
        <w:rPr>
          <w:i/>
          <w:szCs w:val="24"/>
        </w:rPr>
        <w:t>See</w:t>
      </w:r>
      <w:r w:rsidR="005D3BB4" w:rsidRPr="00440735">
        <w:rPr>
          <w:szCs w:val="24"/>
        </w:rPr>
        <w:t xml:space="preserve"> </w:t>
      </w:r>
      <w:r w:rsidR="00721E1D" w:rsidRPr="00440735">
        <w:rPr>
          <w:i/>
          <w:iCs/>
          <w:szCs w:val="24"/>
        </w:rPr>
        <w:t xml:space="preserve">DuBois v. Workers' Comp. Appeals Bd., </w:t>
      </w:r>
      <w:r w:rsidR="00721E1D" w:rsidRPr="00440735">
        <w:rPr>
          <w:szCs w:val="24"/>
        </w:rPr>
        <w:t xml:space="preserve">5 Cal.4th 382, 388 (1993) ("[T]he various parts of a </w:t>
      </w:r>
      <w:r w:rsidR="00721E1D" w:rsidRPr="00440735">
        <w:rPr>
          <w:rStyle w:val="term1"/>
          <w:b w:val="0"/>
          <w:szCs w:val="24"/>
        </w:rPr>
        <w:t>statutory</w:t>
      </w:r>
      <w:r w:rsidR="00721E1D" w:rsidRPr="00440735">
        <w:rPr>
          <w:szCs w:val="24"/>
        </w:rPr>
        <w:t xml:space="preserve"> enactment must be harmonized by considering the particular clause or section in the</w:t>
      </w:r>
      <w:r w:rsidR="00721E1D" w:rsidRPr="000A3C75">
        <w:rPr>
          <w:szCs w:val="24"/>
        </w:rPr>
        <w:t xml:space="preserve"> </w:t>
      </w:r>
      <w:r w:rsidR="00721E1D" w:rsidRPr="000A3C75">
        <w:rPr>
          <w:rStyle w:val="term1"/>
          <w:b w:val="0"/>
          <w:szCs w:val="24"/>
        </w:rPr>
        <w:t>context</w:t>
      </w:r>
      <w:r w:rsidR="00721E1D" w:rsidRPr="000A3C75">
        <w:rPr>
          <w:szCs w:val="24"/>
        </w:rPr>
        <w:t xml:space="preserve"> of the </w:t>
      </w:r>
      <w:r w:rsidR="00721E1D" w:rsidRPr="000A3C75">
        <w:rPr>
          <w:rStyle w:val="term1"/>
          <w:b w:val="0"/>
          <w:szCs w:val="24"/>
        </w:rPr>
        <w:t>statutory</w:t>
      </w:r>
      <w:r w:rsidR="00721E1D" w:rsidRPr="000A3C75">
        <w:rPr>
          <w:szCs w:val="24"/>
        </w:rPr>
        <w:t xml:space="preserve"> framework as a </w:t>
      </w:r>
      <w:r w:rsidR="00721E1D" w:rsidRPr="000A3C75">
        <w:rPr>
          <w:rStyle w:val="term1"/>
          <w:b w:val="0"/>
          <w:szCs w:val="24"/>
        </w:rPr>
        <w:t>whole.")</w:t>
      </w:r>
      <w:r w:rsidR="00721E1D" w:rsidRPr="000A3C75">
        <w:rPr>
          <w:iCs/>
          <w:szCs w:val="24"/>
        </w:rPr>
        <w:t xml:space="preserve">. </w:t>
      </w:r>
    </w:p>
    <w:p w:rsidR="00A42B48" w:rsidRDefault="00F55905" w:rsidP="007C45CF">
      <w:pPr>
        <w:widowControl/>
        <w:spacing w:line="480" w:lineRule="exact"/>
        <w:ind w:firstLine="720"/>
        <w:rPr>
          <w:bCs/>
          <w:szCs w:val="24"/>
        </w:rPr>
      </w:pPr>
      <w:r>
        <w:rPr>
          <w:bCs/>
          <w:szCs w:val="24"/>
        </w:rPr>
        <w:t>Although n</w:t>
      </w:r>
      <w:r w:rsidR="008E754E">
        <w:rPr>
          <w:bCs/>
          <w:szCs w:val="24"/>
        </w:rPr>
        <w:t xml:space="preserve">either of these </w:t>
      </w:r>
      <w:r w:rsidR="008925B0">
        <w:rPr>
          <w:bCs/>
          <w:szCs w:val="24"/>
        </w:rPr>
        <w:t>statute</w:t>
      </w:r>
      <w:r w:rsidR="008E754E">
        <w:rPr>
          <w:bCs/>
          <w:szCs w:val="24"/>
        </w:rPr>
        <w:t xml:space="preserve">s, </w:t>
      </w:r>
      <w:r w:rsidR="008E754E">
        <w:rPr>
          <w:szCs w:val="24"/>
        </w:rPr>
        <w:t>Cal. Civ. Code</w:t>
      </w:r>
      <w:r w:rsidR="008E754E" w:rsidRPr="000A3C75">
        <w:rPr>
          <w:szCs w:val="24"/>
        </w:rPr>
        <w:t xml:space="preserve"> </w:t>
      </w:r>
      <w:r w:rsidR="008E754E" w:rsidRPr="000A3C75">
        <w:rPr>
          <w:bCs/>
          <w:szCs w:val="24"/>
        </w:rPr>
        <w:t>§ 2924(a)(6)</w:t>
      </w:r>
      <w:r w:rsidR="008E754E">
        <w:rPr>
          <w:bCs/>
          <w:szCs w:val="24"/>
        </w:rPr>
        <w:t xml:space="preserve"> </w:t>
      </w:r>
      <w:r w:rsidR="00E606DC">
        <w:rPr>
          <w:bCs/>
          <w:szCs w:val="24"/>
        </w:rPr>
        <w:t>n</w:t>
      </w:r>
      <w:r w:rsidR="008E754E">
        <w:rPr>
          <w:bCs/>
          <w:szCs w:val="24"/>
        </w:rPr>
        <w:t xml:space="preserve">or </w:t>
      </w:r>
      <w:r w:rsidR="008E754E" w:rsidRPr="000A3C75">
        <w:rPr>
          <w:bCs/>
          <w:szCs w:val="24"/>
        </w:rPr>
        <w:t xml:space="preserve">§ </w:t>
      </w:r>
      <w:r w:rsidR="008E754E" w:rsidRPr="000A3C75">
        <w:rPr>
          <w:szCs w:val="24"/>
        </w:rPr>
        <w:t>2934a(d)</w:t>
      </w:r>
      <w:r w:rsidR="008E754E">
        <w:rPr>
          <w:szCs w:val="24"/>
        </w:rPr>
        <w:t xml:space="preserve">, </w:t>
      </w:r>
      <w:r w:rsidR="005F0F8C">
        <w:rPr>
          <w:szCs w:val="24"/>
        </w:rPr>
        <w:t>has</w:t>
      </w:r>
      <w:r w:rsidR="008E754E">
        <w:rPr>
          <w:szCs w:val="24"/>
        </w:rPr>
        <w:t xml:space="preserve"> been analyzed by </w:t>
      </w:r>
      <w:r w:rsidR="008E754E">
        <w:rPr>
          <w:bCs/>
          <w:szCs w:val="24"/>
        </w:rPr>
        <w:t>any other cases</w:t>
      </w:r>
      <w:r w:rsidR="00440735">
        <w:rPr>
          <w:bCs/>
          <w:szCs w:val="24"/>
        </w:rPr>
        <w:t xml:space="preserve"> involving §</w:t>
      </w:r>
      <w:r w:rsidR="00440735">
        <w:rPr>
          <w:szCs w:val="24"/>
        </w:rPr>
        <w:t xml:space="preserve"> </w:t>
      </w:r>
      <w:r w:rsidR="00440735" w:rsidRPr="000A3C75">
        <w:rPr>
          <w:szCs w:val="24"/>
        </w:rPr>
        <w:t>2932.5</w:t>
      </w:r>
      <w:r>
        <w:rPr>
          <w:szCs w:val="24"/>
        </w:rPr>
        <w:t xml:space="preserve">, this Court finds them </w:t>
      </w:r>
      <w:r w:rsidR="008E754E">
        <w:rPr>
          <w:bCs/>
          <w:szCs w:val="24"/>
        </w:rPr>
        <w:t>dispositive</w:t>
      </w:r>
      <w:r>
        <w:rPr>
          <w:bCs/>
          <w:szCs w:val="24"/>
        </w:rPr>
        <w:t>. I</w:t>
      </w:r>
      <w:r w:rsidR="008E754E">
        <w:rPr>
          <w:bCs/>
          <w:szCs w:val="24"/>
        </w:rPr>
        <w:t>n giving the beneficiary complete authority over the foreclosure sale</w:t>
      </w:r>
      <w:r w:rsidR="005F0F8C">
        <w:rPr>
          <w:bCs/>
          <w:szCs w:val="24"/>
        </w:rPr>
        <w:t>, these statutes</w:t>
      </w:r>
      <w:r>
        <w:rPr>
          <w:bCs/>
          <w:szCs w:val="24"/>
        </w:rPr>
        <w:t xml:space="preserve"> </w:t>
      </w:r>
      <w:r w:rsidR="00294D33">
        <w:rPr>
          <w:bCs/>
          <w:szCs w:val="24"/>
        </w:rPr>
        <w:t>and germane California</w:t>
      </w:r>
      <w:r>
        <w:rPr>
          <w:bCs/>
          <w:szCs w:val="24"/>
        </w:rPr>
        <w:t xml:space="preserve"> Supreme Court</w:t>
      </w:r>
      <w:r w:rsidR="005F0F8C">
        <w:rPr>
          <w:bCs/>
          <w:szCs w:val="24"/>
        </w:rPr>
        <w:t xml:space="preserve"> decisions</w:t>
      </w:r>
      <w:r w:rsidR="00994101">
        <w:rPr>
          <w:bCs/>
          <w:szCs w:val="24"/>
        </w:rPr>
        <w:t xml:space="preserve"> require the beneficiary be deemed </w:t>
      </w:r>
      <w:r w:rsidR="008E754E">
        <w:rPr>
          <w:bCs/>
          <w:szCs w:val="24"/>
        </w:rPr>
        <w:t>the holder of the power of sale. The technical title of the trustee</w:t>
      </w:r>
      <w:r w:rsidR="00B97071">
        <w:rPr>
          <w:bCs/>
          <w:szCs w:val="24"/>
        </w:rPr>
        <w:t>, which holds no power regarding the foreclosure sale at all,</w:t>
      </w:r>
      <w:r w:rsidR="008E754E">
        <w:rPr>
          <w:bCs/>
          <w:szCs w:val="24"/>
        </w:rPr>
        <w:t xml:space="preserve"> </w:t>
      </w:r>
      <w:r w:rsidR="00293E92">
        <w:rPr>
          <w:bCs/>
          <w:szCs w:val="24"/>
        </w:rPr>
        <w:t xml:space="preserve">should </w:t>
      </w:r>
      <w:r w:rsidR="008E754E">
        <w:rPr>
          <w:bCs/>
          <w:szCs w:val="24"/>
        </w:rPr>
        <w:t>not affect this allocation of authority</w:t>
      </w:r>
      <w:r w:rsidR="002D5FF6">
        <w:rPr>
          <w:bCs/>
          <w:szCs w:val="24"/>
        </w:rPr>
        <w:t xml:space="preserve"> under §</w:t>
      </w:r>
      <w:r w:rsidR="002D5FF6">
        <w:rPr>
          <w:szCs w:val="24"/>
        </w:rPr>
        <w:t xml:space="preserve"> </w:t>
      </w:r>
      <w:r w:rsidR="002D5FF6" w:rsidRPr="000A3C75">
        <w:rPr>
          <w:szCs w:val="24"/>
        </w:rPr>
        <w:t>2932.5</w:t>
      </w:r>
      <w:r w:rsidR="00994101">
        <w:rPr>
          <w:bCs/>
          <w:szCs w:val="24"/>
        </w:rPr>
        <w:t>.</w:t>
      </w:r>
      <w:r w:rsidR="008E754E">
        <w:rPr>
          <w:szCs w:val="24"/>
        </w:rPr>
        <w:t xml:space="preserve">  </w:t>
      </w:r>
      <w:r w:rsidR="008E754E">
        <w:rPr>
          <w:bCs/>
          <w:szCs w:val="24"/>
        </w:rPr>
        <w:t xml:space="preserve"> </w:t>
      </w:r>
      <w:r w:rsidR="00D5037B" w:rsidRPr="000A3C75">
        <w:rPr>
          <w:bCs/>
          <w:szCs w:val="24"/>
        </w:rPr>
        <w:t xml:space="preserve"> </w:t>
      </w:r>
    </w:p>
    <w:p w:rsidR="00A0562B" w:rsidRPr="000A3C75" w:rsidRDefault="00A0562B" w:rsidP="007C45CF">
      <w:pPr>
        <w:widowControl/>
        <w:spacing w:line="480" w:lineRule="exact"/>
        <w:ind w:firstLine="720"/>
        <w:rPr>
          <w:bCs/>
          <w:szCs w:val="24"/>
        </w:rPr>
      </w:pPr>
    </w:p>
    <w:p w:rsidR="00D5037B" w:rsidRPr="000A3C75" w:rsidRDefault="00D5037B" w:rsidP="00D5037B">
      <w:pPr>
        <w:pStyle w:val="ListParagraph"/>
        <w:keepNext/>
        <w:widowControl/>
        <w:numPr>
          <w:ilvl w:val="0"/>
          <w:numId w:val="22"/>
        </w:numPr>
        <w:spacing w:line="240" w:lineRule="auto"/>
        <w:outlineLvl w:val="0"/>
        <w:rPr>
          <w:b/>
          <w:szCs w:val="24"/>
        </w:rPr>
      </w:pPr>
      <w:r w:rsidRPr="000A3C75">
        <w:rPr>
          <w:b/>
          <w:szCs w:val="24"/>
        </w:rPr>
        <w:t xml:space="preserve">A Gap in Title Resulted </w:t>
      </w:r>
      <w:r w:rsidR="000A4132" w:rsidRPr="000A3C75">
        <w:rPr>
          <w:b/>
          <w:szCs w:val="24"/>
        </w:rPr>
        <w:t>D</w:t>
      </w:r>
      <w:r w:rsidRPr="000A3C75">
        <w:rPr>
          <w:b/>
          <w:szCs w:val="24"/>
        </w:rPr>
        <w:t>ue to ING</w:t>
      </w:r>
      <w:r w:rsidR="00971EB8">
        <w:rPr>
          <w:b/>
          <w:szCs w:val="24"/>
        </w:rPr>
        <w:t>,</w:t>
      </w:r>
      <w:r w:rsidRPr="000A3C75">
        <w:rPr>
          <w:b/>
          <w:szCs w:val="24"/>
        </w:rPr>
        <w:t xml:space="preserve"> as Foreclosing Beneficiary</w:t>
      </w:r>
      <w:r w:rsidR="00971EB8">
        <w:rPr>
          <w:b/>
          <w:szCs w:val="24"/>
        </w:rPr>
        <w:t>,</w:t>
      </w:r>
      <w:r w:rsidRPr="000A3C75">
        <w:rPr>
          <w:b/>
          <w:szCs w:val="24"/>
        </w:rPr>
        <w:t xml:space="preserve"> Lacking an Interest of Record</w:t>
      </w:r>
    </w:p>
    <w:p w:rsidR="002D5FF6" w:rsidRDefault="00A819FA" w:rsidP="00D5037B">
      <w:pPr>
        <w:widowControl/>
        <w:spacing w:line="480" w:lineRule="exact"/>
        <w:ind w:firstLine="720"/>
        <w:rPr>
          <w:szCs w:val="24"/>
        </w:rPr>
      </w:pPr>
      <w:r w:rsidRPr="000A3C75">
        <w:rPr>
          <w:szCs w:val="24"/>
        </w:rPr>
        <w:t xml:space="preserve">Defendants' second argument </w:t>
      </w:r>
      <w:r w:rsidR="00F55905">
        <w:rPr>
          <w:szCs w:val="24"/>
        </w:rPr>
        <w:t xml:space="preserve">to </w:t>
      </w:r>
      <w:r w:rsidR="00D5037B" w:rsidRPr="000A3C75">
        <w:rPr>
          <w:szCs w:val="24"/>
        </w:rPr>
        <w:t>except deeds of trust from the scope of § 2932.5</w:t>
      </w:r>
      <w:r w:rsidR="00F55905">
        <w:rPr>
          <w:szCs w:val="24"/>
        </w:rPr>
        <w:t xml:space="preserve"> is </w:t>
      </w:r>
      <w:r w:rsidRPr="000A3C75">
        <w:rPr>
          <w:szCs w:val="24"/>
        </w:rPr>
        <w:t xml:space="preserve">that the recorded interest of the trustee avoids a gap in title even if the beneficiary's interest is not recorded. </w:t>
      </w:r>
      <w:r w:rsidR="00F55905" w:rsidRPr="000A3C75">
        <w:rPr>
          <w:szCs w:val="24"/>
        </w:rPr>
        <w:t>Defendants a</w:t>
      </w:r>
      <w:r w:rsidR="00F55905">
        <w:rPr>
          <w:szCs w:val="24"/>
        </w:rPr>
        <w:t xml:space="preserve">dmit </w:t>
      </w:r>
      <w:r w:rsidR="00F55905" w:rsidRPr="000A3C75">
        <w:rPr>
          <w:szCs w:val="24"/>
        </w:rPr>
        <w:t>that a gap in title would result if an assignment of a mortgage were not recorded, but contend that deeds of trust are different</w:t>
      </w:r>
      <w:r w:rsidR="00F55905">
        <w:rPr>
          <w:szCs w:val="24"/>
        </w:rPr>
        <w:t xml:space="preserve">. They rely upon </w:t>
      </w:r>
      <w:r w:rsidR="005E7CC3" w:rsidRPr="000A3C75">
        <w:rPr>
          <w:i/>
          <w:szCs w:val="24"/>
        </w:rPr>
        <w:t>Stockwell,</w:t>
      </w:r>
      <w:r w:rsidR="005E7CC3" w:rsidRPr="000A3C75">
        <w:rPr>
          <w:szCs w:val="24"/>
        </w:rPr>
        <w:t xml:space="preserve"> 7 Cal.App. at 416-17</w:t>
      </w:r>
      <w:r w:rsidR="00F55905">
        <w:rPr>
          <w:szCs w:val="24"/>
        </w:rPr>
        <w:t xml:space="preserve"> (the </w:t>
      </w:r>
      <w:r w:rsidR="00F55905" w:rsidRPr="000A3C75">
        <w:rPr>
          <w:szCs w:val="24"/>
        </w:rPr>
        <w:t>purpose of § 2932.5</w:t>
      </w:r>
      <w:r w:rsidR="00997B7B">
        <w:rPr>
          <w:szCs w:val="24"/>
        </w:rPr>
        <w:t xml:space="preserve"> is </w:t>
      </w:r>
      <w:r w:rsidR="00F55905" w:rsidRPr="000A3C75">
        <w:rPr>
          <w:szCs w:val="24"/>
        </w:rPr>
        <w:t xml:space="preserve">to </w:t>
      </w:r>
      <w:r w:rsidR="00F55905">
        <w:rPr>
          <w:szCs w:val="24"/>
        </w:rPr>
        <w:t xml:space="preserve">avoid gaps in title and </w:t>
      </w:r>
      <w:r w:rsidR="00F55905" w:rsidRPr="000A3C75">
        <w:rPr>
          <w:szCs w:val="24"/>
        </w:rPr>
        <w:t>assure marketable title upon a foreclosure under the power of sale</w:t>
      </w:r>
      <w:r w:rsidR="00997B7B">
        <w:rPr>
          <w:szCs w:val="24"/>
        </w:rPr>
        <w:t xml:space="preserve">, but it </w:t>
      </w:r>
      <w:r w:rsidR="00F55905">
        <w:rPr>
          <w:szCs w:val="24"/>
        </w:rPr>
        <w:t>does not apply to deeds of trust because the trustee holds true title)</w:t>
      </w:r>
      <w:r w:rsidR="002D5FF6">
        <w:rPr>
          <w:szCs w:val="24"/>
        </w:rPr>
        <w:t>,</w:t>
      </w:r>
      <w:r w:rsidR="00F55905">
        <w:rPr>
          <w:szCs w:val="24"/>
        </w:rPr>
        <w:t xml:space="preserve"> and </w:t>
      </w:r>
      <w:r w:rsidR="005E7CC3" w:rsidRPr="000A3C75">
        <w:rPr>
          <w:bCs/>
          <w:i/>
          <w:szCs w:val="24"/>
        </w:rPr>
        <w:t>Haynes</w:t>
      </w:r>
      <w:r w:rsidR="005E7CC3" w:rsidRPr="000A3C75">
        <w:rPr>
          <w:bCs/>
          <w:szCs w:val="24"/>
        </w:rPr>
        <w:t>,</w:t>
      </w:r>
      <w:r w:rsidR="005E7CC3" w:rsidRPr="000A3C75">
        <w:rPr>
          <w:szCs w:val="24"/>
        </w:rPr>
        <w:t xml:space="preserve"> 205 Cal.App.4th at 336-37</w:t>
      </w:r>
      <w:r w:rsidR="00F55905">
        <w:rPr>
          <w:szCs w:val="24"/>
        </w:rPr>
        <w:t xml:space="preserve"> (same)</w:t>
      </w:r>
      <w:r w:rsidR="005E7CC3">
        <w:rPr>
          <w:szCs w:val="24"/>
        </w:rPr>
        <w:t>.</w:t>
      </w:r>
      <w:r w:rsidR="00F55905">
        <w:rPr>
          <w:szCs w:val="24"/>
        </w:rPr>
        <w:t xml:space="preserve"> </w:t>
      </w:r>
      <w:r w:rsidR="002D5FF6">
        <w:rPr>
          <w:szCs w:val="24"/>
        </w:rPr>
        <w:t>A</w:t>
      </w:r>
      <w:r w:rsidR="00997B7B">
        <w:rPr>
          <w:szCs w:val="24"/>
        </w:rPr>
        <w:t xml:space="preserve">s noted </w:t>
      </w:r>
      <w:r w:rsidR="002D5FF6">
        <w:rPr>
          <w:szCs w:val="24"/>
        </w:rPr>
        <w:t xml:space="preserve">above, the California Supreme Court has clearly held that trustee does not hold actual title, but only technical title. </w:t>
      </w:r>
      <w:r w:rsidR="00971EB8">
        <w:rPr>
          <w:szCs w:val="24"/>
        </w:rPr>
        <w:t>The basis of the</w:t>
      </w:r>
      <w:r w:rsidR="002D5FF6">
        <w:rPr>
          <w:szCs w:val="24"/>
        </w:rPr>
        <w:t xml:space="preserve"> conclusion of </w:t>
      </w:r>
      <w:r w:rsidR="00F55905">
        <w:rPr>
          <w:i/>
          <w:szCs w:val="24"/>
        </w:rPr>
        <w:t>Stockwell</w:t>
      </w:r>
      <w:r w:rsidR="00920A89">
        <w:rPr>
          <w:i/>
          <w:szCs w:val="24"/>
        </w:rPr>
        <w:t xml:space="preserve">, </w:t>
      </w:r>
      <w:r w:rsidR="00920A89" w:rsidRPr="000A3C75">
        <w:rPr>
          <w:szCs w:val="24"/>
        </w:rPr>
        <w:t>7 Cal.App. at 416-17</w:t>
      </w:r>
      <w:r w:rsidR="00B97071">
        <w:rPr>
          <w:szCs w:val="24"/>
        </w:rPr>
        <w:t>,</w:t>
      </w:r>
      <w:r w:rsidR="00971EB8">
        <w:rPr>
          <w:szCs w:val="24"/>
        </w:rPr>
        <w:t xml:space="preserve"> that no gap in title would result from the failure to record a beneficial interest, </w:t>
      </w:r>
      <w:r w:rsidR="002D5FF6" w:rsidRPr="002D5FF6">
        <w:rPr>
          <w:szCs w:val="24"/>
        </w:rPr>
        <w:t>was</w:t>
      </w:r>
      <w:r w:rsidR="002D5FF6">
        <w:rPr>
          <w:i/>
          <w:szCs w:val="24"/>
        </w:rPr>
        <w:t xml:space="preserve"> </w:t>
      </w:r>
      <w:r w:rsidR="00971EB8" w:rsidRPr="00971EB8">
        <w:rPr>
          <w:szCs w:val="24"/>
        </w:rPr>
        <w:t>later</w:t>
      </w:r>
      <w:r w:rsidR="00971EB8">
        <w:rPr>
          <w:i/>
          <w:szCs w:val="24"/>
        </w:rPr>
        <w:t xml:space="preserve"> </w:t>
      </w:r>
      <w:r w:rsidR="00920A89">
        <w:rPr>
          <w:szCs w:val="24"/>
        </w:rPr>
        <w:t xml:space="preserve">discredited in </w:t>
      </w:r>
      <w:r w:rsidR="00920A89">
        <w:rPr>
          <w:i/>
          <w:szCs w:val="24"/>
        </w:rPr>
        <w:t xml:space="preserve">Monterey, </w:t>
      </w:r>
      <w:r w:rsidR="00920A89" w:rsidRPr="000A3C75">
        <w:rPr>
          <w:szCs w:val="24"/>
        </w:rPr>
        <w:t>49 Cal. 3d at 460</w:t>
      </w:r>
      <w:r w:rsidR="002D5FF6">
        <w:rPr>
          <w:szCs w:val="24"/>
        </w:rPr>
        <w:t xml:space="preserve">. </w:t>
      </w:r>
    </w:p>
    <w:p w:rsidR="00E01ECF" w:rsidRDefault="00971EB8" w:rsidP="00D5037B">
      <w:pPr>
        <w:widowControl/>
        <w:spacing w:line="480" w:lineRule="exact"/>
        <w:ind w:firstLine="720"/>
        <w:rPr>
          <w:szCs w:val="24"/>
        </w:rPr>
      </w:pPr>
      <w:r>
        <w:rPr>
          <w:szCs w:val="24"/>
        </w:rPr>
        <w:t>T</w:t>
      </w:r>
      <w:r w:rsidR="00B97071">
        <w:rPr>
          <w:szCs w:val="24"/>
        </w:rPr>
        <w:t>hat t</w:t>
      </w:r>
      <w:r w:rsidR="00E01ECF">
        <w:rPr>
          <w:szCs w:val="24"/>
        </w:rPr>
        <w:t>he trustee holds technical title,</w:t>
      </w:r>
      <w:r w:rsidR="00B97071">
        <w:rPr>
          <w:szCs w:val="24"/>
        </w:rPr>
        <w:t xml:space="preserve"> and its interest by law must be recorded before the foreclosure sale</w:t>
      </w:r>
      <w:r>
        <w:rPr>
          <w:szCs w:val="24"/>
        </w:rPr>
        <w:t xml:space="preserve"> under Cal. Civ. Code § 2934a</w:t>
      </w:r>
      <w:r w:rsidRPr="00B97071">
        <w:rPr>
          <w:szCs w:val="24"/>
        </w:rPr>
        <w:t>(</w:t>
      </w:r>
      <w:r>
        <w:rPr>
          <w:szCs w:val="24"/>
        </w:rPr>
        <w:t>d</w:t>
      </w:r>
      <w:r w:rsidRPr="00B97071">
        <w:rPr>
          <w:szCs w:val="24"/>
        </w:rPr>
        <w:t>)</w:t>
      </w:r>
      <w:r w:rsidR="00B9025B">
        <w:rPr>
          <w:szCs w:val="24"/>
        </w:rPr>
        <w:t>,</w:t>
      </w:r>
      <w:r>
        <w:rPr>
          <w:szCs w:val="24"/>
        </w:rPr>
        <w:t xml:space="preserve"> is </w:t>
      </w:r>
      <w:r w:rsidR="00B9025B">
        <w:rPr>
          <w:szCs w:val="24"/>
        </w:rPr>
        <w:t xml:space="preserve">in any event </w:t>
      </w:r>
      <w:r>
        <w:rPr>
          <w:szCs w:val="24"/>
        </w:rPr>
        <w:t xml:space="preserve">not the important </w:t>
      </w:r>
      <w:r w:rsidR="00B9025B">
        <w:rPr>
          <w:szCs w:val="24"/>
        </w:rPr>
        <w:t xml:space="preserve">factor </w:t>
      </w:r>
      <w:r>
        <w:rPr>
          <w:szCs w:val="24"/>
        </w:rPr>
        <w:t xml:space="preserve">for </w:t>
      </w:r>
      <w:r>
        <w:rPr>
          <w:szCs w:val="24"/>
        </w:rPr>
        <w:lastRenderedPageBreak/>
        <w:t xml:space="preserve">interpreting § 2932.5. </w:t>
      </w:r>
      <w:r w:rsidR="00B9025B">
        <w:rPr>
          <w:szCs w:val="24"/>
        </w:rPr>
        <w:t xml:space="preserve">The proper inquiry </w:t>
      </w:r>
      <w:r>
        <w:rPr>
          <w:szCs w:val="24"/>
        </w:rPr>
        <w:t>is</w:t>
      </w:r>
      <w:r w:rsidR="00AF645A">
        <w:rPr>
          <w:szCs w:val="24"/>
        </w:rPr>
        <w:t xml:space="preserve"> </w:t>
      </w:r>
      <w:r w:rsidR="00E01ECF">
        <w:rPr>
          <w:szCs w:val="24"/>
        </w:rPr>
        <w:t>whether th</w:t>
      </w:r>
      <w:r w:rsidR="00AF645A">
        <w:rPr>
          <w:szCs w:val="24"/>
        </w:rPr>
        <w:t xml:space="preserve">e trustee's </w:t>
      </w:r>
      <w:r w:rsidR="00920A89">
        <w:rPr>
          <w:szCs w:val="24"/>
        </w:rPr>
        <w:t>interest</w:t>
      </w:r>
      <w:r w:rsidR="00E01ECF">
        <w:rPr>
          <w:szCs w:val="24"/>
        </w:rPr>
        <w:t xml:space="preserve">, </w:t>
      </w:r>
      <w:r w:rsidR="00920A89">
        <w:rPr>
          <w:szCs w:val="24"/>
        </w:rPr>
        <w:t>even if of record, prevent</w:t>
      </w:r>
      <w:r w:rsidR="001B64D8">
        <w:rPr>
          <w:szCs w:val="24"/>
        </w:rPr>
        <w:t>s</w:t>
      </w:r>
      <w:r w:rsidR="00920A89">
        <w:rPr>
          <w:szCs w:val="24"/>
        </w:rPr>
        <w:t xml:space="preserve"> a gap in title </w:t>
      </w:r>
      <w:r w:rsidR="00E01ECF">
        <w:rPr>
          <w:szCs w:val="24"/>
        </w:rPr>
        <w:t xml:space="preserve">at the time of the foreclosure sale where the beneficiary's interest </w:t>
      </w:r>
      <w:r w:rsidR="00AF645A">
        <w:rPr>
          <w:szCs w:val="24"/>
        </w:rPr>
        <w:t xml:space="preserve">is not separately of record. </w:t>
      </w:r>
      <w:r w:rsidR="00E01ECF">
        <w:rPr>
          <w:szCs w:val="24"/>
        </w:rPr>
        <w:t xml:space="preserve">How a gap in title occurs is defined by the </w:t>
      </w:r>
      <w:r w:rsidR="00920A89">
        <w:rPr>
          <w:szCs w:val="24"/>
        </w:rPr>
        <w:t xml:space="preserve">California recording statutes, which no </w:t>
      </w:r>
      <w:r w:rsidR="001635CC" w:rsidRPr="000A3C75">
        <w:rPr>
          <w:szCs w:val="24"/>
        </w:rPr>
        <w:t xml:space="preserve">case </w:t>
      </w:r>
      <w:r w:rsidR="005E7CC3">
        <w:rPr>
          <w:szCs w:val="24"/>
        </w:rPr>
        <w:t xml:space="preserve">to date </w:t>
      </w:r>
      <w:r w:rsidR="001635CC" w:rsidRPr="000A3C75">
        <w:rPr>
          <w:szCs w:val="24"/>
        </w:rPr>
        <w:t>has explored</w:t>
      </w:r>
      <w:r w:rsidR="00920A89">
        <w:rPr>
          <w:szCs w:val="24"/>
        </w:rPr>
        <w:t>.</w:t>
      </w:r>
      <w:r w:rsidR="00920A89" w:rsidRPr="000A3C75">
        <w:rPr>
          <w:szCs w:val="24"/>
        </w:rPr>
        <w:t xml:space="preserve"> </w:t>
      </w:r>
      <w:r w:rsidR="00E01ECF">
        <w:rPr>
          <w:szCs w:val="24"/>
        </w:rPr>
        <w:t xml:space="preserve">This analysis is necessary to assess the gap in title justification for excepting deeds of trust from </w:t>
      </w:r>
      <w:r w:rsidR="00E01ECF" w:rsidRPr="000A3C75">
        <w:rPr>
          <w:szCs w:val="24"/>
        </w:rPr>
        <w:t>§</w:t>
      </w:r>
      <w:r w:rsidR="00E606DC">
        <w:rPr>
          <w:szCs w:val="24"/>
        </w:rPr>
        <w:t> </w:t>
      </w:r>
      <w:r w:rsidR="00E01ECF" w:rsidRPr="000A3C75">
        <w:rPr>
          <w:szCs w:val="24"/>
        </w:rPr>
        <w:t>2932.5</w:t>
      </w:r>
      <w:r w:rsidR="00E01ECF">
        <w:rPr>
          <w:szCs w:val="24"/>
        </w:rPr>
        <w:t>.</w:t>
      </w:r>
    </w:p>
    <w:p w:rsidR="00D5037B" w:rsidRPr="000A3C75" w:rsidRDefault="001635CC" w:rsidP="00D5037B">
      <w:pPr>
        <w:widowControl/>
        <w:spacing w:line="480" w:lineRule="exact"/>
        <w:ind w:firstLine="720"/>
        <w:rPr>
          <w:szCs w:val="24"/>
        </w:rPr>
      </w:pPr>
      <w:r w:rsidRPr="000A3C75">
        <w:rPr>
          <w:szCs w:val="24"/>
        </w:rPr>
        <w:t xml:space="preserve">California has </w:t>
      </w:r>
      <w:r w:rsidR="00994101">
        <w:rPr>
          <w:szCs w:val="24"/>
        </w:rPr>
        <w:t>strict</w:t>
      </w:r>
      <w:r w:rsidRPr="000A3C75">
        <w:rPr>
          <w:szCs w:val="24"/>
        </w:rPr>
        <w:t xml:space="preserve"> requirements for the proper recording </w:t>
      </w:r>
      <w:r w:rsidR="00994101">
        <w:rPr>
          <w:szCs w:val="24"/>
        </w:rPr>
        <w:t xml:space="preserve">of </w:t>
      </w:r>
      <w:r w:rsidRPr="000A3C75">
        <w:rPr>
          <w:szCs w:val="24"/>
        </w:rPr>
        <w:t xml:space="preserve">documents in the real property records. </w:t>
      </w:r>
      <w:r w:rsidR="00D5037B" w:rsidRPr="000A3C75">
        <w:rPr>
          <w:szCs w:val="24"/>
        </w:rPr>
        <w:t xml:space="preserve">A gap in title results when a document affecting title is not properly indexed in the grantor/grantee index mandated by California recording statutes. </w:t>
      </w:r>
      <w:r w:rsidR="00D5037B" w:rsidRPr="000A3C75">
        <w:rPr>
          <w:i/>
          <w:szCs w:val="24"/>
        </w:rPr>
        <w:t>See</w:t>
      </w:r>
      <w:r w:rsidR="00D5037B" w:rsidRPr="000A3C75">
        <w:rPr>
          <w:szCs w:val="24"/>
        </w:rPr>
        <w:t xml:space="preserve"> </w:t>
      </w:r>
      <w:r w:rsidR="00D5037B" w:rsidRPr="000A3C75">
        <w:rPr>
          <w:i/>
          <w:szCs w:val="24"/>
        </w:rPr>
        <w:t>Hochstein v. Romero,</w:t>
      </w:r>
      <w:r w:rsidR="00D5037B" w:rsidRPr="000A3C75">
        <w:rPr>
          <w:szCs w:val="24"/>
        </w:rPr>
        <w:t xml:space="preserve"> 219 Cal.App.3d 447, 452 (Cal. App. 4th Dist. 1990) ("[W]here the document is improperly indexed and hence not locatable by a proper search, mere recordation is insufficient to charge the subsequent purchaser with notice."); Miller &amp; Starr § 11:22; 12 Witkin, Ch. XVII, § 321, at 379. "If an instrument cannot be located by searching the 'grantor' and 'grantee' indices of the public records, it is a wild deed. The instrument then does not constitute constructive notice and later bona fide purchasers or encumbrances are not charged with knowledge of its existence." </w:t>
      </w:r>
      <w:r w:rsidR="00D24606" w:rsidRPr="000A3C75">
        <w:rPr>
          <w:i/>
          <w:szCs w:val="24"/>
        </w:rPr>
        <w:t>Far West</w:t>
      </w:r>
      <w:r w:rsidR="00D5037B" w:rsidRPr="000A3C75">
        <w:rPr>
          <w:i/>
          <w:szCs w:val="24"/>
        </w:rPr>
        <w:t xml:space="preserve"> Sav. &amp; Loan Ass'n v. McLaughlin</w:t>
      </w:r>
      <w:r w:rsidR="00D5037B" w:rsidRPr="000A3C75">
        <w:rPr>
          <w:szCs w:val="24"/>
        </w:rPr>
        <w:t>, 201 Cal.App.3d 67, 73 (Cal. App. 2d Dist. 1988) (deed of trust not properly indexed under name of trustor who held record title when the deed of trust was recorded left a gap in title);</w:t>
      </w:r>
      <w:r w:rsidR="00D5037B" w:rsidRPr="000A3C75">
        <w:rPr>
          <w:rStyle w:val="FootnoteReference"/>
          <w:szCs w:val="24"/>
        </w:rPr>
        <w:footnoteReference w:id="12"/>
      </w:r>
      <w:r w:rsidR="00D5037B" w:rsidRPr="000A3C75">
        <w:rPr>
          <w:szCs w:val="24"/>
        </w:rPr>
        <w:t xml:space="preserve"> </w:t>
      </w:r>
      <w:r w:rsidR="00D5037B" w:rsidRPr="000A3C75">
        <w:rPr>
          <w:i/>
          <w:szCs w:val="24"/>
        </w:rPr>
        <w:t>see also</w:t>
      </w:r>
      <w:r w:rsidR="00D5037B" w:rsidRPr="000A3C75">
        <w:rPr>
          <w:szCs w:val="24"/>
        </w:rPr>
        <w:t xml:space="preserve"> </w:t>
      </w:r>
      <w:r w:rsidR="00D5037B" w:rsidRPr="000A3C75">
        <w:rPr>
          <w:i/>
          <w:szCs w:val="24"/>
        </w:rPr>
        <w:t xml:space="preserve">Chase Manhattan Bank USA, N.A. v. Taxel (In re Deuel), </w:t>
      </w:r>
      <w:r w:rsidR="00D5037B" w:rsidRPr="000A3C75">
        <w:rPr>
          <w:szCs w:val="24"/>
        </w:rPr>
        <w:t>594 F.3d 1073 (9th Cir. 2010) (despite listing on debtor's bankruptcy petition, trustee did not have constructive notice of secured creditor's unrecorded lien since it was not recorded as prescribed by law). This is because the interest of a party must be traced back to its source within the ch</w:t>
      </w:r>
      <w:r w:rsidR="00440735">
        <w:rPr>
          <w:szCs w:val="24"/>
        </w:rPr>
        <w:t>ain of title from one transferee to the next transferor</w:t>
      </w:r>
      <w:r w:rsidR="00D5037B" w:rsidRPr="000A3C75">
        <w:rPr>
          <w:szCs w:val="24"/>
        </w:rPr>
        <w:t xml:space="preserve">. </w:t>
      </w:r>
      <w:r w:rsidR="00994101">
        <w:rPr>
          <w:szCs w:val="24"/>
        </w:rPr>
        <w:t xml:space="preserve"> </w:t>
      </w:r>
      <w:r w:rsidR="00D5037B" w:rsidRPr="000A3C75">
        <w:rPr>
          <w:i/>
          <w:szCs w:val="24"/>
        </w:rPr>
        <w:t>Far West,</w:t>
      </w:r>
      <w:r w:rsidR="00D5037B" w:rsidRPr="000A3C75">
        <w:rPr>
          <w:szCs w:val="24"/>
        </w:rPr>
        <w:t xml:space="preserve"> 201 Cal. App. 3d at 73, explains that if </w:t>
      </w:r>
      <w:r w:rsidR="00F466C9" w:rsidRPr="000A3C75">
        <w:rPr>
          <w:szCs w:val="24"/>
        </w:rPr>
        <w:t>a party</w:t>
      </w:r>
      <w:r w:rsidR="00D5037B" w:rsidRPr="000A3C75">
        <w:rPr>
          <w:szCs w:val="24"/>
        </w:rPr>
        <w:t xml:space="preserve"> conveys an interest in title before </w:t>
      </w:r>
      <w:r w:rsidR="00F466C9" w:rsidRPr="000A3C75">
        <w:rPr>
          <w:szCs w:val="24"/>
        </w:rPr>
        <w:t>the party</w:t>
      </w:r>
      <w:r w:rsidR="00D5037B" w:rsidRPr="000A3C75">
        <w:rPr>
          <w:szCs w:val="24"/>
        </w:rPr>
        <w:t xml:space="preserve"> ac</w:t>
      </w:r>
      <w:r w:rsidR="00F466C9" w:rsidRPr="000A3C75">
        <w:rPr>
          <w:szCs w:val="24"/>
        </w:rPr>
        <w:t xml:space="preserve">quires </w:t>
      </w:r>
      <w:r w:rsidR="00D5037B" w:rsidRPr="000A3C75">
        <w:rPr>
          <w:szCs w:val="24"/>
        </w:rPr>
        <w:t xml:space="preserve">an interest of record, </w:t>
      </w:r>
      <w:r w:rsidR="00F466C9" w:rsidRPr="000A3C75">
        <w:rPr>
          <w:szCs w:val="24"/>
        </w:rPr>
        <w:t>the interest</w:t>
      </w:r>
      <w:r w:rsidR="00D5037B" w:rsidRPr="000A3C75">
        <w:rPr>
          <w:szCs w:val="24"/>
        </w:rPr>
        <w:t xml:space="preserve"> is outside the chain of title.  </w:t>
      </w:r>
    </w:p>
    <w:p w:rsidR="00D5037B" w:rsidRPr="000A3C75" w:rsidRDefault="000A2512" w:rsidP="00D5037B">
      <w:pPr>
        <w:widowControl/>
        <w:spacing w:line="480" w:lineRule="exact"/>
        <w:ind w:firstLine="720"/>
        <w:rPr>
          <w:szCs w:val="24"/>
        </w:rPr>
      </w:pPr>
      <w:r w:rsidRPr="000A3C75">
        <w:rPr>
          <w:szCs w:val="24"/>
        </w:rPr>
        <w:t>In California, c</w:t>
      </w:r>
      <w:r w:rsidR="00D5037B" w:rsidRPr="000A3C75">
        <w:rPr>
          <w:szCs w:val="24"/>
        </w:rPr>
        <w:t xml:space="preserve">ounty recorders have a choice of two indexing systems for grantor/grantee recording </w:t>
      </w:r>
      <w:r w:rsidR="001635CC" w:rsidRPr="000A3C75">
        <w:rPr>
          <w:szCs w:val="24"/>
        </w:rPr>
        <w:t>purposes</w:t>
      </w:r>
      <w:r w:rsidR="00D5037B" w:rsidRPr="000A3C75">
        <w:rPr>
          <w:szCs w:val="24"/>
        </w:rPr>
        <w:t>.</w:t>
      </w:r>
      <w:r w:rsidR="00AF645A">
        <w:rPr>
          <w:szCs w:val="24"/>
        </w:rPr>
        <w:t xml:space="preserve"> </w:t>
      </w:r>
      <w:r w:rsidR="00AF645A" w:rsidRPr="000A3C75">
        <w:rPr>
          <w:szCs w:val="24"/>
        </w:rPr>
        <w:t>Cal. Gov. Code § 27257</w:t>
      </w:r>
      <w:r w:rsidR="00AF645A">
        <w:rPr>
          <w:szCs w:val="24"/>
        </w:rPr>
        <w:t>.</w:t>
      </w:r>
      <w:r w:rsidR="00D5037B" w:rsidRPr="000A3C75">
        <w:rPr>
          <w:szCs w:val="24"/>
        </w:rPr>
        <w:t xml:space="preserve"> The more common system, and the one employed </w:t>
      </w:r>
      <w:r w:rsidR="00D5037B" w:rsidRPr="000A3C75">
        <w:rPr>
          <w:szCs w:val="24"/>
        </w:rPr>
        <w:lastRenderedPageBreak/>
        <w:t>by the County of San Diego, involves one general series of books or film called "official records," in</w:t>
      </w:r>
      <w:r w:rsidR="00B9025B">
        <w:rPr>
          <w:szCs w:val="24"/>
        </w:rPr>
        <w:t>to</w:t>
      </w:r>
      <w:r w:rsidR="00D5037B" w:rsidRPr="000A3C75">
        <w:rPr>
          <w:szCs w:val="24"/>
        </w:rPr>
        <w:t xml:space="preserve"> which all transfers are entered. Cal. Gov. Code § 27323. This record involves a single, alphabetized grantor</w:t>
      </w:r>
      <w:r w:rsidR="00A42B48" w:rsidRPr="000A3C75">
        <w:rPr>
          <w:szCs w:val="24"/>
        </w:rPr>
        <w:t>/</w:t>
      </w:r>
      <w:r w:rsidR="00D5037B" w:rsidRPr="000A3C75">
        <w:rPr>
          <w:szCs w:val="24"/>
        </w:rPr>
        <w:t>grantee index in which the grantors are distinguished from the grantees "by an easily recognizable mark or symbol," with a reference to the "</w:t>
      </w:r>
      <w:r w:rsidR="00D5037B" w:rsidRPr="000A3C75">
        <w:rPr>
          <w:color w:val="000000"/>
          <w:szCs w:val="24"/>
        </w:rPr>
        <w:t>location of each document in the permanent file, book, or film record."</w:t>
      </w:r>
      <w:r w:rsidR="00D5037B" w:rsidRPr="000A3C75">
        <w:rPr>
          <w:szCs w:val="24"/>
        </w:rPr>
        <w:t xml:space="preserve"> Cal. Gov. Code § 27257(b).  </w:t>
      </w:r>
    </w:p>
    <w:p w:rsidR="00D5037B" w:rsidRPr="000A3C75" w:rsidRDefault="001B64D8" w:rsidP="00D5037B">
      <w:pPr>
        <w:widowControl/>
        <w:spacing w:line="480" w:lineRule="exact"/>
        <w:ind w:firstLine="720"/>
        <w:rPr>
          <w:i/>
          <w:szCs w:val="24"/>
        </w:rPr>
      </w:pPr>
      <w:r>
        <w:rPr>
          <w:szCs w:val="24"/>
        </w:rPr>
        <w:t>Applying these</w:t>
      </w:r>
      <w:r w:rsidR="00D5037B" w:rsidRPr="000A3C75">
        <w:rPr>
          <w:szCs w:val="24"/>
        </w:rPr>
        <w:t xml:space="preserve"> indexing statutes to deeds of trust, </w:t>
      </w:r>
      <w:r w:rsidR="009857C9" w:rsidRPr="000A3C75">
        <w:rPr>
          <w:szCs w:val="24"/>
        </w:rPr>
        <w:t xml:space="preserve">this Court cannot agree that the </w:t>
      </w:r>
      <w:r w:rsidR="00D5037B" w:rsidRPr="000A3C75">
        <w:rPr>
          <w:szCs w:val="24"/>
        </w:rPr>
        <w:t>trustee's recorded interest would prevent a gap in title if the beneficiary's interest is not of record. As with the pla</w:t>
      </w:r>
      <w:r w:rsidR="00994101">
        <w:rPr>
          <w:szCs w:val="24"/>
        </w:rPr>
        <w:t xml:space="preserve">in language analysis above, the </w:t>
      </w:r>
      <w:r w:rsidR="00D5037B" w:rsidRPr="000A3C75">
        <w:rPr>
          <w:szCs w:val="24"/>
        </w:rPr>
        <w:t>beneficiary is the princip</w:t>
      </w:r>
      <w:r w:rsidR="00994101">
        <w:rPr>
          <w:szCs w:val="24"/>
        </w:rPr>
        <w:t>al</w:t>
      </w:r>
      <w:r w:rsidR="00D5037B" w:rsidRPr="000A3C75">
        <w:rPr>
          <w:szCs w:val="24"/>
        </w:rPr>
        <w:t xml:space="preserve"> party in interest in the context of the recording statutes. </w:t>
      </w:r>
      <w:r w:rsidR="00AF645A" w:rsidRPr="000A3C75">
        <w:rPr>
          <w:szCs w:val="24"/>
        </w:rPr>
        <w:t>The grantor is indexed under the trustor's name, and the grantee is indexed by the beneficiary's name. Miller &amp; Starr § 11:19.</w:t>
      </w:r>
      <w:r w:rsidR="00AF645A">
        <w:rPr>
          <w:szCs w:val="24"/>
        </w:rPr>
        <w:t xml:space="preserve"> </w:t>
      </w:r>
      <w:r w:rsidR="00D5037B" w:rsidRPr="000A3C75">
        <w:rPr>
          <w:szCs w:val="24"/>
        </w:rPr>
        <w:t xml:space="preserve">In fact, </w:t>
      </w:r>
      <w:r w:rsidR="00F466C9" w:rsidRPr="000A3C75">
        <w:rPr>
          <w:szCs w:val="24"/>
        </w:rPr>
        <w:t xml:space="preserve">by statute, </w:t>
      </w:r>
      <w:r w:rsidR="00D5037B" w:rsidRPr="000A3C75">
        <w:rPr>
          <w:szCs w:val="24"/>
        </w:rPr>
        <w:t>the trustee</w:t>
      </w:r>
      <w:r w:rsidR="008E3E38" w:rsidRPr="000A3C75">
        <w:rPr>
          <w:szCs w:val="24"/>
        </w:rPr>
        <w:t xml:space="preserve">'s interest </w:t>
      </w:r>
      <w:r w:rsidR="00D5037B" w:rsidRPr="000A3C75">
        <w:rPr>
          <w:szCs w:val="24"/>
        </w:rPr>
        <w:t>under the deed of trust need not be indexed</w:t>
      </w:r>
      <w:r w:rsidR="00AF645A">
        <w:rPr>
          <w:szCs w:val="24"/>
        </w:rPr>
        <w:t xml:space="preserve"> at all</w:t>
      </w:r>
      <w:r w:rsidR="00D5037B" w:rsidRPr="000A3C75">
        <w:rPr>
          <w:szCs w:val="24"/>
        </w:rPr>
        <w:t>. Cal. Gov. Code § 27263</w:t>
      </w:r>
      <w:r w:rsidR="008E3E38" w:rsidRPr="000A3C75">
        <w:rPr>
          <w:szCs w:val="24"/>
        </w:rPr>
        <w:t xml:space="preserve">. </w:t>
      </w:r>
      <w:r w:rsidR="00D5037B" w:rsidRPr="000A3C75">
        <w:rPr>
          <w:szCs w:val="24"/>
        </w:rPr>
        <w:t>Since the recorded interest of the trustee</w:t>
      </w:r>
      <w:r w:rsidR="009857C9" w:rsidRPr="000A3C75">
        <w:rPr>
          <w:szCs w:val="24"/>
        </w:rPr>
        <w:t xml:space="preserve"> need not be indexed </w:t>
      </w:r>
      <w:r w:rsidR="00D5037B" w:rsidRPr="000A3C75">
        <w:rPr>
          <w:szCs w:val="24"/>
        </w:rPr>
        <w:t>in the official records, it cannot provide constructive notice</w:t>
      </w:r>
      <w:r w:rsidR="009857C9" w:rsidRPr="000A3C75">
        <w:rPr>
          <w:szCs w:val="24"/>
        </w:rPr>
        <w:t xml:space="preserve"> when there is a change in beneficiary</w:t>
      </w:r>
      <w:r w:rsidR="00D5037B" w:rsidRPr="000A3C75">
        <w:rPr>
          <w:szCs w:val="24"/>
        </w:rPr>
        <w:t xml:space="preserve">. </w:t>
      </w:r>
      <w:r w:rsidR="00D5037B" w:rsidRPr="000A3C75">
        <w:rPr>
          <w:i/>
          <w:szCs w:val="24"/>
        </w:rPr>
        <w:t>See</w:t>
      </w:r>
      <w:r w:rsidR="00D5037B" w:rsidRPr="000A3C75">
        <w:rPr>
          <w:szCs w:val="24"/>
        </w:rPr>
        <w:t xml:space="preserve"> </w:t>
      </w:r>
      <w:r w:rsidR="00D5037B" w:rsidRPr="000A3C75">
        <w:rPr>
          <w:i/>
          <w:szCs w:val="24"/>
        </w:rPr>
        <w:t>Hochstein</w:t>
      </w:r>
      <w:r w:rsidR="00D5037B" w:rsidRPr="000A3C75">
        <w:rPr>
          <w:szCs w:val="24"/>
        </w:rPr>
        <w:t xml:space="preserve">, 219 Cal. App. 3d at 452 (judgment that was not properly indexed in accordance with the recording statutes did not give constructive notice even though it </w:t>
      </w:r>
      <w:r w:rsidR="00AF645A">
        <w:rPr>
          <w:szCs w:val="24"/>
        </w:rPr>
        <w:t xml:space="preserve">appeared </w:t>
      </w:r>
      <w:r w:rsidR="00D5037B" w:rsidRPr="000A3C75">
        <w:rPr>
          <w:szCs w:val="24"/>
        </w:rPr>
        <w:t xml:space="preserve">in the public records); </w:t>
      </w:r>
      <w:r w:rsidR="00D5037B" w:rsidRPr="000A3C75">
        <w:rPr>
          <w:i/>
          <w:szCs w:val="24"/>
        </w:rPr>
        <w:t>see also Lewis v. Superior Court,</w:t>
      </w:r>
      <w:r w:rsidR="00D5037B" w:rsidRPr="000A3C75">
        <w:rPr>
          <w:szCs w:val="24"/>
        </w:rPr>
        <w:t xml:space="preserve"> 30 Cal.App.4th 1850, 1867 (1994) (lis pendens not properly indexed did not provide constructive notice). </w:t>
      </w:r>
    </w:p>
    <w:p w:rsidR="00D5037B" w:rsidRPr="000A3C75" w:rsidRDefault="00D5037B" w:rsidP="00D5037B">
      <w:pPr>
        <w:widowControl/>
        <w:spacing w:line="480" w:lineRule="exact"/>
        <w:ind w:firstLine="720"/>
        <w:rPr>
          <w:szCs w:val="24"/>
        </w:rPr>
      </w:pPr>
      <w:r w:rsidRPr="000A3C75">
        <w:rPr>
          <w:szCs w:val="24"/>
        </w:rPr>
        <w:t>In the supplemental papers filed in response to the Court's request for further briefing on the gap in title issue, Defendants asserted a new argument. Rather than relying upon the trustee's recorded interests, they now contend the proper indexing is under the name of the Debtor</w:t>
      </w:r>
      <w:r w:rsidR="000D3AFC">
        <w:rPr>
          <w:szCs w:val="24"/>
        </w:rPr>
        <w:t xml:space="preserve"> as trustor</w:t>
      </w:r>
      <w:r w:rsidRPr="000A3C75">
        <w:rPr>
          <w:szCs w:val="24"/>
        </w:rPr>
        <w:t xml:space="preserve">. Relying upon the following sentence from Cal. Gov. Code § 27263, they assert that ING's interest as foreclosing beneficiary did not need to be recorded because both the deed of trust and the trustee's deed upon sale can both be located under the Debtor's name as trustor: </w:t>
      </w:r>
    </w:p>
    <w:p w:rsidR="000A4132" w:rsidRPr="000A3C75" w:rsidRDefault="000A4132" w:rsidP="00D5037B">
      <w:pPr>
        <w:widowControl/>
        <w:spacing w:line="480" w:lineRule="exact"/>
        <w:ind w:firstLine="720"/>
        <w:rPr>
          <w:szCs w:val="24"/>
        </w:rPr>
      </w:pPr>
    </w:p>
    <w:p w:rsidR="00D5037B" w:rsidRPr="000A3C75" w:rsidRDefault="00D5037B" w:rsidP="00D70B0A">
      <w:pPr>
        <w:widowControl/>
        <w:spacing w:after="240" w:line="240" w:lineRule="auto"/>
        <w:ind w:left="1440" w:right="1620"/>
        <w:rPr>
          <w:szCs w:val="24"/>
        </w:rPr>
      </w:pPr>
      <w:r w:rsidRPr="000A3C75">
        <w:rPr>
          <w:szCs w:val="24"/>
        </w:rPr>
        <w:t>A trustee's deed given upon the exercise of the power of sale under any deed of trust shall be indexed under the names of the original trustor and the grantee named therein.</w:t>
      </w:r>
    </w:p>
    <w:p w:rsidR="00920A89" w:rsidRDefault="00D5037B" w:rsidP="002D5696">
      <w:pPr>
        <w:widowControl/>
        <w:spacing w:line="480" w:lineRule="exact"/>
        <w:ind w:firstLine="720"/>
        <w:rPr>
          <w:szCs w:val="24"/>
        </w:rPr>
      </w:pPr>
      <w:r w:rsidRPr="000A3C75">
        <w:rPr>
          <w:szCs w:val="24"/>
        </w:rPr>
        <w:t>Defendants cite no authority supporting th</w:t>
      </w:r>
      <w:r w:rsidR="00920A89">
        <w:rPr>
          <w:szCs w:val="24"/>
        </w:rPr>
        <w:t xml:space="preserve">eir claim that indexing </w:t>
      </w:r>
      <w:r w:rsidR="007B3F47">
        <w:rPr>
          <w:szCs w:val="24"/>
        </w:rPr>
        <w:t xml:space="preserve">exclusively </w:t>
      </w:r>
      <w:r w:rsidR="00920A89">
        <w:rPr>
          <w:szCs w:val="24"/>
        </w:rPr>
        <w:t>under the trustor's name satisfies the recording statutes. T</w:t>
      </w:r>
      <w:r w:rsidRPr="000A3C75">
        <w:rPr>
          <w:szCs w:val="24"/>
        </w:rPr>
        <w:t>h</w:t>
      </w:r>
      <w:r w:rsidR="00AF645A">
        <w:rPr>
          <w:szCs w:val="24"/>
        </w:rPr>
        <w:t xml:space="preserve">is </w:t>
      </w:r>
      <w:r w:rsidR="00920A89">
        <w:rPr>
          <w:szCs w:val="24"/>
        </w:rPr>
        <w:t xml:space="preserve">claim </w:t>
      </w:r>
      <w:r w:rsidR="00AF645A">
        <w:rPr>
          <w:szCs w:val="24"/>
        </w:rPr>
        <w:t xml:space="preserve">is also directly </w:t>
      </w:r>
      <w:r w:rsidR="00920A89">
        <w:rPr>
          <w:szCs w:val="24"/>
        </w:rPr>
        <w:t xml:space="preserve">inconsistent with </w:t>
      </w:r>
      <w:r w:rsidR="00920A89">
        <w:rPr>
          <w:szCs w:val="24"/>
        </w:rPr>
        <w:lastRenderedPageBreak/>
        <w:t xml:space="preserve">applicable statutes. </w:t>
      </w:r>
      <w:r w:rsidR="00523AC9">
        <w:rPr>
          <w:szCs w:val="24"/>
        </w:rPr>
        <w:t xml:space="preserve">Applicable here to the system adopted by the County of San Diego, </w:t>
      </w:r>
      <w:r w:rsidR="00523AC9" w:rsidRPr="00523AC9">
        <w:rPr>
          <w:szCs w:val="24"/>
        </w:rPr>
        <w:t xml:space="preserve">Cal. Gov. Code § 27257(b) </w:t>
      </w:r>
      <w:r w:rsidRPr="000A3C75">
        <w:rPr>
          <w:szCs w:val="24"/>
        </w:rPr>
        <w:t>requires both a grantor and a grantee to be ind</w:t>
      </w:r>
      <w:r w:rsidR="00B9025B">
        <w:rPr>
          <w:szCs w:val="24"/>
        </w:rPr>
        <w:t>exed for each conveyance</w:t>
      </w:r>
      <w:r w:rsidRPr="000A3C75">
        <w:rPr>
          <w:szCs w:val="24"/>
        </w:rPr>
        <w:t xml:space="preserve">, not just the grantor. </w:t>
      </w:r>
      <w:r w:rsidR="00920A89">
        <w:rPr>
          <w:szCs w:val="24"/>
        </w:rPr>
        <w:t>These two st</w:t>
      </w:r>
      <w:r w:rsidR="00920A89" w:rsidRPr="000A3C75">
        <w:rPr>
          <w:szCs w:val="24"/>
        </w:rPr>
        <w:t xml:space="preserve">atutes must be interpreted harmoniously. </w:t>
      </w:r>
      <w:r w:rsidR="00920A89" w:rsidRPr="000A3C75">
        <w:rPr>
          <w:i/>
          <w:iCs/>
          <w:szCs w:val="24"/>
        </w:rPr>
        <w:t xml:space="preserve">DuBois, </w:t>
      </w:r>
      <w:r w:rsidR="00920A89" w:rsidRPr="000A3C75">
        <w:rPr>
          <w:szCs w:val="24"/>
        </w:rPr>
        <w:t>5 Cal.4th at 388.</w:t>
      </w:r>
    </w:p>
    <w:p w:rsidR="008460B4" w:rsidRDefault="00C45062" w:rsidP="002D5696">
      <w:pPr>
        <w:widowControl/>
        <w:spacing w:line="480" w:lineRule="exact"/>
        <w:ind w:firstLine="720"/>
        <w:rPr>
          <w:color w:val="000000"/>
          <w:szCs w:val="24"/>
        </w:rPr>
      </w:pPr>
      <w:r>
        <w:rPr>
          <w:szCs w:val="24"/>
        </w:rPr>
        <w:t>To illustrate their argument, Defendants purport to conduct a search of the San Diego Recorder's records</w:t>
      </w:r>
      <w:r w:rsidR="00AF645A">
        <w:rPr>
          <w:szCs w:val="24"/>
        </w:rPr>
        <w:t xml:space="preserve"> and attach a document reflecting the results of their search</w:t>
      </w:r>
      <w:r>
        <w:rPr>
          <w:szCs w:val="24"/>
        </w:rPr>
        <w:t xml:space="preserve"> (the "Search Results").</w:t>
      </w:r>
      <w:r w:rsidRPr="000A3C75">
        <w:rPr>
          <w:rStyle w:val="FootnoteReference"/>
          <w:szCs w:val="24"/>
        </w:rPr>
        <w:footnoteReference w:id="13"/>
      </w:r>
      <w:r>
        <w:rPr>
          <w:szCs w:val="24"/>
        </w:rPr>
        <w:t xml:space="preserve"> Although it is unclear how the search was conducted, </w:t>
      </w:r>
      <w:r w:rsidR="00AF645A">
        <w:rPr>
          <w:szCs w:val="24"/>
        </w:rPr>
        <w:t>the Court has nevertheless reviewed the Search Results. Rather than supporting Defendants' claim, the Search Results instead appear to reflect the gap in title caused when ING failed to record its beneficial interest before it foreclosed. Consistent with the statutory analysis above, t</w:t>
      </w:r>
      <w:r w:rsidR="008460B4" w:rsidRPr="008460B4">
        <w:rPr>
          <w:szCs w:val="24"/>
        </w:rPr>
        <w:t xml:space="preserve">he </w:t>
      </w:r>
      <w:r>
        <w:rPr>
          <w:szCs w:val="24"/>
        </w:rPr>
        <w:t>Search Results</w:t>
      </w:r>
      <w:r w:rsidR="008460B4" w:rsidRPr="008460B4">
        <w:rPr>
          <w:szCs w:val="24"/>
        </w:rPr>
        <w:t xml:space="preserve"> </w:t>
      </w:r>
      <w:r w:rsidR="000D3AFC">
        <w:rPr>
          <w:szCs w:val="24"/>
        </w:rPr>
        <w:t>reflect</w:t>
      </w:r>
      <w:r>
        <w:rPr>
          <w:szCs w:val="24"/>
        </w:rPr>
        <w:t xml:space="preserve"> only</w:t>
      </w:r>
      <w:r w:rsidR="000D3AFC">
        <w:rPr>
          <w:szCs w:val="24"/>
        </w:rPr>
        <w:t xml:space="preserve"> </w:t>
      </w:r>
      <w:r w:rsidR="008460B4" w:rsidRPr="008460B4">
        <w:rPr>
          <w:color w:val="000000"/>
          <w:szCs w:val="24"/>
        </w:rPr>
        <w:t xml:space="preserve">two of </w:t>
      </w:r>
      <w:r>
        <w:rPr>
          <w:szCs w:val="24"/>
        </w:rPr>
        <w:t>the</w:t>
      </w:r>
      <w:r w:rsidR="008460B4" w:rsidRPr="008460B4">
        <w:rPr>
          <w:color w:val="000000"/>
          <w:szCs w:val="24"/>
        </w:rPr>
        <w:t xml:space="preserve"> three transactions germane </w:t>
      </w:r>
      <w:r w:rsidR="008460B4">
        <w:rPr>
          <w:color w:val="000000"/>
          <w:szCs w:val="24"/>
        </w:rPr>
        <w:t>to this action</w:t>
      </w:r>
      <w:r w:rsidR="008460B4" w:rsidRPr="008460B4">
        <w:rPr>
          <w:color w:val="000000"/>
          <w:szCs w:val="24"/>
        </w:rPr>
        <w:t>.</w:t>
      </w:r>
      <w:r w:rsidR="0090737F" w:rsidRPr="000A3C75">
        <w:rPr>
          <w:rStyle w:val="FootnoteReference"/>
          <w:szCs w:val="24"/>
        </w:rPr>
        <w:footnoteReference w:id="14"/>
      </w:r>
      <w:r w:rsidR="008460B4" w:rsidRPr="008460B4">
        <w:rPr>
          <w:color w:val="000000"/>
          <w:szCs w:val="24"/>
        </w:rPr>
        <w:t xml:space="preserve"> The reference to the deed of trust, Doc. No. 2004-1211211</w:t>
      </w:r>
      <w:r w:rsidR="00A21120">
        <w:rPr>
          <w:color w:val="000000"/>
          <w:szCs w:val="24"/>
        </w:rPr>
        <w:t>,</w:t>
      </w:r>
      <w:r w:rsidR="008460B4" w:rsidRPr="008460B4">
        <w:rPr>
          <w:color w:val="000000"/>
          <w:szCs w:val="24"/>
        </w:rPr>
        <w:t xml:space="preserve"> has the name of two parties, Cirilo Cruz and </w:t>
      </w:r>
      <w:r>
        <w:rPr>
          <w:szCs w:val="24"/>
        </w:rPr>
        <w:t>SCME</w:t>
      </w:r>
      <w:r w:rsidR="00FD0C92">
        <w:rPr>
          <w:szCs w:val="24"/>
        </w:rPr>
        <w:t xml:space="preserve"> Mortgage Bankers, Inc. ("SCME")</w:t>
      </w:r>
      <w:r>
        <w:rPr>
          <w:szCs w:val="24"/>
        </w:rPr>
        <w:t>; n</w:t>
      </w:r>
      <w:r w:rsidR="008460B4" w:rsidRPr="008460B4">
        <w:rPr>
          <w:szCs w:val="24"/>
        </w:rPr>
        <w:t>otably, neither the original trustee, Stewart Title Company o</w:t>
      </w:r>
      <w:r>
        <w:rPr>
          <w:szCs w:val="24"/>
        </w:rPr>
        <w:t>f San Diego</w:t>
      </w:r>
      <w:r w:rsidR="00433C44">
        <w:rPr>
          <w:szCs w:val="24"/>
        </w:rPr>
        <w:t xml:space="preserve"> ("Stewart </w:t>
      </w:r>
      <w:r w:rsidR="00433C44">
        <w:rPr>
          <w:szCs w:val="24"/>
        </w:rPr>
        <w:lastRenderedPageBreak/>
        <w:t>Title")</w:t>
      </w:r>
      <w:r>
        <w:rPr>
          <w:szCs w:val="24"/>
        </w:rPr>
        <w:t>, nor MERS appears as a listed party</w:t>
      </w:r>
      <w:r w:rsidR="008460B4" w:rsidRPr="008460B4">
        <w:rPr>
          <w:szCs w:val="24"/>
        </w:rPr>
        <w:t xml:space="preserve">. </w:t>
      </w:r>
      <w:r w:rsidR="008460B4" w:rsidRPr="008460B4">
        <w:rPr>
          <w:color w:val="000000"/>
          <w:szCs w:val="24"/>
        </w:rPr>
        <w:t xml:space="preserve">The substitution of trustee, Doc. No. 2009-0423592, </w:t>
      </w:r>
      <w:r w:rsidR="008460B4">
        <w:rPr>
          <w:color w:val="000000"/>
          <w:szCs w:val="24"/>
        </w:rPr>
        <w:t xml:space="preserve">through which </w:t>
      </w:r>
      <w:r w:rsidR="00FB5C43">
        <w:rPr>
          <w:color w:val="000000"/>
          <w:szCs w:val="24"/>
        </w:rPr>
        <w:t xml:space="preserve">the interest of the foreclosing trustee </w:t>
      </w:r>
      <w:r w:rsidR="008460B4">
        <w:rPr>
          <w:color w:val="000000"/>
          <w:szCs w:val="24"/>
        </w:rPr>
        <w:t xml:space="preserve">Quality </w:t>
      </w:r>
      <w:r w:rsidR="00CC24EF">
        <w:rPr>
          <w:color w:val="000000"/>
          <w:szCs w:val="24"/>
        </w:rPr>
        <w:t>Loan Service Cor</w:t>
      </w:r>
      <w:r w:rsidR="007335A5">
        <w:rPr>
          <w:color w:val="000000"/>
          <w:szCs w:val="24"/>
        </w:rPr>
        <w:t>p.("Quality Loan")</w:t>
      </w:r>
      <w:r w:rsidR="00FB5C43">
        <w:rPr>
          <w:color w:val="000000"/>
          <w:szCs w:val="24"/>
        </w:rPr>
        <w:t xml:space="preserve"> </w:t>
      </w:r>
      <w:r w:rsidR="008460B4">
        <w:rPr>
          <w:color w:val="000000"/>
          <w:szCs w:val="24"/>
        </w:rPr>
        <w:t>became of record</w:t>
      </w:r>
      <w:r w:rsidR="00A21120">
        <w:rPr>
          <w:color w:val="000000"/>
          <w:szCs w:val="24"/>
        </w:rPr>
        <w:t>,</w:t>
      </w:r>
      <w:r w:rsidR="008460B4">
        <w:rPr>
          <w:color w:val="000000"/>
          <w:szCs w:val="24"/>
        </w:rPr>
        <w:t xml:space="preserve"> </w:t>
      </w:r>
      <w:r w:rsidR="008460B4" w:rsidRPr="008460B4">
        <w:rPr>
          <w:color w:val="000000"/>
          <w:szCs w:val="24"/>
        </w:rPr>
        <w:t xml:space="preserve">does not appear at all in the </w:t>
      </w:r>
      <w:r>
        <w:rPr>
          <w:color w:val="000000"/>
          <w:szCs w:val="24"/>
        </w:rPr>
        <w:t>Search Results</w:t>
      </w:r>
      <w:r w:rsidR="008460B4" w:rsidRPr="008460B4">
        <w:rPr>
          <w:color w:val="000000"/>
          <w:szCs w:val="24"/>
        </w:rPr>
        <w:t xml:space="preserve">. The reference </w:t>
      </w:r>
      <w:r w:rsidR="00FD0C92">
        <w:rPr>
          <w:color w:val="000000"/>
          <w:szCs w:val="24"/>
        </w:rPr>
        <w:t xml:space="preserve">in the Search Results </w:t>
      </w:r>
      <w:r w:rsidR="008460B4" w:rsidRPr="008460B4">
        <w:rPr>
          <w:color w:val="000000"/>
          <w:szCs w:val="24"/>
        </w:rPr>
        <w:t xml:space="preserve">to the third document, the trustee's sale deed, </w:t>
      </w:r>
      <w:r w:rsidR="0090737F">
        <w:rPr>
          <w:color w:val="000000"/>
          <w:szCs w:val="24"/>
        </w:rPr>
        <w:t xml:space="preserve">Doc. No. 2010-0298513, </w:t>
      </w:r>
      <w:r w:rsidR="00FD0C92">
        <w:rPr>
          <w:color w:val="000000"/>
          <w:szCs w:val="24"/>
        </w:rPr>
        <w:t xml:space="preserve">only </w:t>
      </w:r>
      <w:r w:rsidR="008460B4" w:rsidRPr="008460B4">
        <w:rPr>
          <w:color w:val="000000"/>
          <w:szCs w:val="24"/>
        </w:rPr>
        <w:t>contain</w:t>
      </w:r>
      <w:r w:rsidR="00BB5733">
        <w:rPr>
          <w:color w:val="000000"/>
          <w:szCs w:val="24"/>
        </w:rPr>
        <w:t xml:space="preserve">s the names </w:t>
      </w:r>
      <w:r w:rsidR="0090737F">
        <w:rPr>
          <w:color w:val="000000"/>
          <w:szCs w:val="24"/>
        </w:rPr>
        <w:t xml:space="preserve">of </w:t>
      </w:r>
      <w:r w:rsidR="00BB5733">
        <w:rPr>
          <w:color w:val="000000"/>
          <w:szCs w:val="24"/>
        </w:rPr>
        <w:t>Cirilo Cruz and ING</w:t>
      </w:r>
      <w:r w:rsidR="00272134">
        <w:rPr>
          <w:color w:val="000000"/>
          <w:szCs w:val="24"/>
        </w:rPr>
        <w:t xml:space="preserve">. </w:t>
      </w:r>
    </w:p>
    <w:p w:rsidR="007B3996" w:rsidRDefault="008460B4" w:rsidP="002D5696">
      <w:pPr>
        <w:widowControl/>
        <w:spacing w:line="480" w:lineRule="exact"/>
        <w:ind w:firstLine="720"/>
        <w:rPr>
          <w:color w:val="000000"/>
          <w:szCs w:val="24"/>
        </w:rPr>
      </w:pPr>
      <w:r>
        <w:rPr>
          <w:color w:val="000000"/>
          <w:szCs w:val="24"/>
        </w:rPr>
        <w:t xml:space="preserve">The </w:t>
      </w:r>
      <w:r w:rsidR="00FD0C92">
        <w:rPr>
          <w:color w:val="000000"/>
          <w:szCs w:val="24"/>
        </w:rPr>
        <w:t>Search Results</w:t>
      </w:r>
      <w:r>
        <w:rPr>
          <w:color w:val="000000"/>
          <w:szCs w:val="24"/>
        </w:rPr>
        <w:t xml:space="preserve"> undercut Defendants' </w:t>
      </w:r>
      <w:r w:rsidR="00272134">
        <w:rPr>
          <w:color w:val="000000"/>
          <w:szCs w:val="24"/>
        </w:rPr>
        <w:t>two arguments that the failure to record ING's beneficial interest left no</w:t>
      </w:r>
      <w:r>
        <w:rPr>
          <w:color w:val="000000"/>
          <w:szCs w:val="24"/>
        </w:rPr>
        <w:t xml:space="preserve"> gap</w:t>
      </w:r>
      <w:r w:rsidR="00272134">
        <w:rPr>
          <w:color w:val="000000"/>
          <w:szCs w:val="24"/>
        </w:rPr>
        <w:t xml:space="preserve"> in title</w:t>
      </w:r>
      <w:r w:rsidR="007B3996">
        <w:rPr>
          <w:color w:val="000000"/>
          <w:szCs w:val="24"/>
        </w:rPr>
        <w:t xml:space="preserve"> for two reasons</w:t>
      </w:r>
      <w:r w:rsidR="00272134">
        <w:rPr>
          <w:color w:val="000000"/>
          <w:szCs w:val="24"/>
        </w:rPr>
        <w:t xml:space="preserve">. </w:t>
      </w:r>
      <w:r w:rsidR="007B3996">
        <w:rPr>
          <w:color w:val="000000"/>
          <w:szCs w:val="24"/>
        </w:rPr>
        <w:t>First, c</w:t>
      </w:r>
      <w:r>
        <w:rPr>
          <w:color w:val="000000"/>
          <w:szCs w:val="24"/>
        </w:rPr>
        <w:t xml:space="preserve">onsistent with </w:t>
      </w:r>
      <w:r w:rsidRPr="000A3C75">
        <w:rPr>
          <w:szCs w:val="24"/>
        </w:rPr>
        <w:t>Cal. Gov. Code § 27263</w:t>
      </w:r>
      <w:r>
        <w:rPr>
          <w:szCs w:val="24"/>
        </w:rPr>
        <w:t xml:space="preserve">, </w:t>
      </w:r>
      <w:r>
        <w:rPr>
          <w:color w:val="000000"/>
          <w:szCs w:val="24"/>
        </w:rPr>
        <w:t>the index contains no reference to any recorded interest of either of the trustees, since they need not be indexed by statute. Reliance on the trustee's recorded interest to prevent a gap in t</w:t>
      </w:r>
      <w:r w:rsidR="00CC24EF">
        <w:rPr>
          <w:color w:val="000000"/>
          <w:szCs w:val="24"/>
        </w:rPr>
        <w:t>itle is misplaced</w:t>
      </w:r>
      <w:r w:rsidR="00272134">
        <w:rPr>
          <w:color w:val="000000"/>
          <w:szCs w:val="24"/>
        </w:rPr>
        <w:t xml:space="preserve">. </w:t>
      </w:r>
    </w:p>
    <w:p w:rsidR="00D5037B" w:rsidRDefault="00272134" w:rsidP="002D5696">
      <w:pPr>
        <w:widowControl/>
        <w:spacing w:line="480" w:lineRule="exact"/>
        <w:ind w:firstLine="720"/>
        <w:rPr>
          <w:szCs w:val="24"/>
        </w:rPr>
      </w:pPr>
      <w:r>
        <w:rPr>
          <w:color w:val="000000"/>
          <w:szCs w:val="24"/>
        </w:rPr>
        <w:t>S</w:t>
      </w:r>
      <w:r w:rsidR="008460B4">
        <w:rPr>
          <w:color w:val="000000"/>
          <w:szCs w:val="24"/>
        </w:rPr>
        <w:t xml:space="preserve">econd, </w:t>
      </w:r>
      <w:r w:rsidR="008460B4" w:rsidRPr="008460B4">
        <w:rPr>
          <w:color w:val="000000"/>
          <w:szCs w:val="24"/>
        </w:rPr>
        <w:t xml:space="preserve">the </w:t>
      </w:r>
      <w:r w:rsidR="00FD0C92">
        <w:rPr>
          <w:color w:val="000000"/>
          <w:szCs w:val="24"/>
        </w:rPr>
        <w:t>Search Results</w:t>
      </w:r>
      <w:r w:rsidR="008460B4" w:rsidRPr="008460B4">
        <w:rPr>
          <w:color w:val="000000"/>
          <w:szCs w:val="24"/>
        </w:rPr>
        <w:t xml:space="preserve"> reflect no relationship whatsoever between the original deed of trust and the grantee's deed upon foreclosure of the deed of trust</w:t>
      </w:r>
      <w:r w:rsidR="00FB5C43">
        <w:rPr>
          <w:color w:val="000000"/>
          <w:szCs w:val="24"/>
        </w:rPr>
        <w:t xml:space="preserve">, other than the name Cirilo Cruz. </w:t>
      </w:r>
      <w:r w:rsidR="008460B4">
        <w:rPr>
          <w:color w:val="000000"/>
          <w:szCs w:val="24"/>
        </w:rPr>
        <w:t xml:space="preserve">The </w:t>
      </w:r>
      <w:r w:rsidR="00FD0C92">
        <w:rPr>
          <w:color w:val="000000"/>
          <w:szCs w:val="24"/>
        </w:rPr>
        <w:t>Search Results</w:t>
      </w:r>
      <w:r w:rsidR="008460B4">
        <w:rPr>
          <w:color w:val="000000"/>
          <w:szCs w:val="24"/>
        </w:rPr>
        <w:t xml:space="preserve"> </w:t>
      </w:r>
      <w:r w:rsidR="00FB5C43">
        <w:rPr>
          <w:color w:val="000000"/>
          <w:szCs w:val="24"/>
        </w:rPr>
        <w:t xml:space="preserve">instead </w:t>
      </w:r>
      <w:r w:rsidR="008460B4">
        <w:rPr>
          <w:color w:val="000000"/>
          <w:szCs w:val="24"/>
        </w:rPr>
        <w:t>reflect</w:t>
      </w:r>
      <w:r>
        <w:rPr>
          <w:color w:val="000000"/>
          <w:szCs w:val="24"/>
        </w:rPr>
        <w:t xml:space="preserve"> separate transfers from </w:t>
      </w:r>
      <w:r w:rsidR="008460B4">
        <w:rPr>
          <w:color w:val="000000"/>
          <w:szCs w:val="24"/>
        </w:rPr>
        <w:t>Cruz to SCME and then from Cruz to ING</w:t>
      </w:r>
      <w:r>
        <w:rPr>
          <w:color w:val="000000"/>
          <w:szCs w:val="24"/>
        </w:rPr>
        <w:t xml:space="preserve">. Had SCME recorded its assignment of beneficial interest to ING, there </w:t>
      </w:r>
      <w:r w:rsidR="00FD0C92">
        <w:rPr>
          <w:color w:val="000000"/>
          <w:szCs w:val="24"/>
        </w:rPr>
        <w:t xml:space="preserve">presumably </w:t>
      </w:r>
      <w:r>
        <w:rPr>
          <w:color w:val="000000"/>
          <w:szCs w:val="24"/>
        </w:rPr>
        <w:t xml:space="preserve">would be a third entry in the </w:t>
      </w:r>
      <w:r w:rsidR="00FD0C92">
        <w:rPr>
          <w:color w:val="000000"/>
          <w:szCs w:val="24"/>
        </w:rPr>
        <w:t>Search Results</w:t>
      </w:r>
      <w:r>
        <w:rPr>
          <w:color w:val="000000"/>
          <w:szCs w:val="24"/>
        </w:rPr>
        <w:t>. Collectively, these three transfers would then demonstrate as a matter of p</w:t>
      </w:r>
      <w:r w:rsidR="0090737F">
        <w:rPr>
          <w:color w:val="000000"/>
          <w:szCs w:val="24"/>
        </w:rPr>
        <w:t xml:space="preserve">ublic record what occurred here — </w:t>
      </w:r>
      <w:r>
        <w:rPr>
          <w:color w:val="000000"/>
          <w:szCs w:val="24"/>
        </w:rPr>
        <w:t>Cruz conveying a beneficial interest to SCME, SCME conveying its beneficial interest to ING, and then ING foreclosing on that beneficial interest to obtain fee title</w:t>
      </w:r>
      <w:r w:rsidR="007B3996">
        <w:rPr>
          <w:color w:val="000000"/>
          <w:szCs w:val="24"/>
        </w:rPr>
        <w:t xml:space="preserve"> from Cruz.</w:t>
      </w:r>
      <w:r>
        <w:rPr>
          <w:color w:val="000000"/>
          <w:szCs w:val="24"/>
        </w:rPr>
        <w:t xml:space="preserve"> </w:t>
      </w:r>
      <w:r w:rsidR="007B3996">
        <w:rPr>
          <w:color w:val="000000"/>
          <w:szCs w:val="24"/>
        </w:rPr>
        <w:t xml:space="preserve">Because the middle step in this series of transactions is not of record, a gap in title resulted from </w:t>
      </w:r>
      <w:r w:rsidR="008460B4" w:rsidRPr="008460B4">
        <w:rPr>
          <w:color w:val="000000"/>
          <w:szCs w:val="24"/>
        </w:rPr>
        <w:t xml:space="preserve">ING's </w:t>
      </w:r>
      <w:r w:rsidR="00FD0C92">
        <w:rPr>
          <w:color w:val="000000"/>
          <w:szCs w:val="24"/>
        </w:rPr>
        <w:t>failure</w:t>
      </w:r>
      <w:r w:rsidR="008460B4" w:rsidRPr="008460B4">
        <w:rPr>
          <w:color w:val="000000"/>
          <w:szCs w:val="24"/>
        </w:rPr>
        <w:t xml:space="preserve"> to </w:t>
      </w:r>
      <w:r w:rsidR="008460B4" w:rsidRPr="008460B4">
        <w:rPr>
          <w:szCs w:val="24"/>
        </w:rPr>
        <w:t xml:space="preserve">record its assignment of beneficial interest from SCME in </w:t>
      </w:r>
      <w:r w:rsidR="008460B4" w:rsidRPr="008460B4">
        <w:rPr>
          <w:color w:val="000000"/>
          <w:szCs w:val="24"/>
        </w:rPr>
        <w:t xml:space="preserve">compliance with </w:t>
      </w:r>
      <w:r w:rsidR="008460B4" w:rsidRPr="008460B4">
        <w:rPr>
          <w:szCs w:val="24"/>
        </w:rPr>
        <w:t>§ 2932.5.</w:t>
      </w:r>
      <w:r w:rsidR="00D5037B" w:rsidRPr="000A3C75">
        <w:rPr>
          <w:szCs w:val="24"/>
        </w:rPr>
        <w:t xml:space="preserve"> </w:t>
      </w:r>
    </w:p>
    <w:p w:rsidR="007B3996" w:rsidRPr="000A3C75" w:rsidRDefault="007B3996" w:rsidP="002D5696">
      <w:pPr>
        <w:widowControl/>
        <w:spacing w:line="480" w:lineRule="exact"/>
        <w:ind w:firstLine="720"/>
        <w:rPr>
          <w:szCs w:val="24"/>
        </w:rPr>
      </w:pPr>
      <w:r w:rsidRPr="007B3996">
        <w:rPr>
          <w:szCs w:val="24"/>
        </w:rPr>
        <w:t xml:space="preserve">To avoid a gap in title, </w:t>
      </w:r>
      <w:r w:rsidR="000D3AFC">
        <w:rPr>
          <w:szCs w:val="24"/>
        </w:rPr>
        <w:t xml:space="preserve">the recording statutes require </w:t>
      </w:r>
      <w:r w:rsidRPr="007B3996">
        <w:rPr>
          <w:szCs w:val="24"/>
        </w:rPr>
        <w:t xml:space="preserve">the critical interests — the mortgagor/trustor on one hand and the lender/mortgagee on the other hand — </w:t>
      </w:r>
      <w:r w:rsidR="000D3AFC">
        <w:rPr>
          <w:szCs w:val="24"/>
        </w:rPr>
        <w:t>to be</w:t>
      </w:r>
      <w:r w:rsidRPr="007B3996">
        <w:rPr>
          <w:szCs w:val="24"/>
        </w:rPr>
        <w:t xml:space="preserve"> indexed by name in the key grantor/grantee index. The trustee's interest need not be of record at all for either instrument. Since the trustee's interest, even if of record, could not plug the gap in title created here when SCME, as beneficiary and grantee under the deed of trust, assigned its interest to ING in an unrecorded assignment, the Court is not persuaded by the majority view excluding deeds of trust from the scope of § 2932.5.</w:t>
      </w:r>
    </w:p>
    <w:p w:rsidR="002D5696" w:rsidRPr="000A3C75" w:rsidRDefault="002D5696" w:rsidP="00217F97">
      <w:pPr>
        <w:pStyle w:val="ListParagraph"/>
        <w:keepNext/>
        <w:widowControl/>
        <w:numPr>
          <w:ilvl w:val="0"/>
          <w:numId w:val="16"/>
        </w:numPr>
        <w:tabs>
          <w:tab w:val="num" w:pos="720"/>
        </w:tabs>
        <w:spacing w:line="480" w:lineRule="exact"/>
        <w:outlineLvl w:val="0"/>
        <w:rPr>
          <w:szCs w:val="24"/>
        </w:rPr>
      </w:pPr>
      <w:r w:rsidRPr="000A3C75">
        <w:rPr>
          <w:b/>
          <w:szCs w:val="24"/>
          <w:u w:val="single"/>
        </w:rPr>
        <w:lastRenderedPageBreak/>
        <w:t>CONCLUSION</w:t>
      </w:r>
    </w:p>
    <w:p w:rsidR="008E19B3" w:rsidRPr="00FB5C43" w:rsidRDefault="007B3996" w:rsidP="00FB5C43">
      <w:pPr>
        <w:widowControl/>
        <w:spacing w:line="480" w:lineRule="exact"/>
        <w:ind w:firstLine="720"/>
        <w:rPr>
          <w:szCs w:val="24"/>
        </w:rPr>
      </w:pPr>
      <w:r w:rsidRPr="000A3C75">
        <w:rPr>
          <w:iCs/>
          <w:szCs w:val="24"/>
        </w:rPr>
        <w:t xml:space="preserve">This Court is not persuaded to rule that deeds of trust are excluded from the purview of </w:t>
      </w:r>
      <w:r w:rsidRPr="000A3C75">
        <w:rPr>
          <w:szCs w:val="24"/>
        </w:rPr>
        <w:t>§</w:t>
      </w:r>
      <w:r w:rsidR="00FD0C92">
        <w:rPr>
          <w:szCs w:val="24"/>
        </w:rPr>
        <w:t> </w:t>
      </w:r>
      <w:r w:rsidRPr="000A3C75">
        <w:rPr>
          <w:szCs w:val="24"/>
        </w:rPr>
        <w:t>2932.5</w:t>
      </w:r>
      <w:r w:rsidRPr="000A3C75">
        <w:rPr>
          <w:iCs/>
          <w:szCs w:val="24"/>
        </w:rPr>
        <w:t xml:space="preserve"> </w:t>
      </w:r>
      <w:r w:rsidRPr="000A3C75">
        <w:rPr>
          <w:szCs w:val="24"/>
        </w:rPr>
        <w:t>after reconsideration of Defendants' arguments</w:t>
      </w:r>
      <w:r w:rsidRPr="000A3C75">
        <w:rPr>
          <w:iCs/>
          <w:szCs w:val="24"/>
        </w:rPr>
        <w:t xml:space="preserve"> and review of the intermediate appellate decisions.</w:t>
      </w:r>
      <w:r>
        <w:rPr>
          <w:iCs/>
          <w:szCs w:val="24"/>
        </w:rPr>
        <w:t xml:space="preserve"> </w:t>
      </w:r>
      <w:r w:rsidRPr="007B3996">
        <w:rPr>
          <w:szCs w:val="24"/>
        </w:rPr>
        <w:t>Under the California recording statutes</w:t>
      </w:r>
      <w:r w:rsidR="00523AC9">
        <w:rPr>
          <w:szCs w:val="24"/>
        </w:rPr>
        <w:t>,</w:t>
      </w:r>
      <w:r w:rsidR="00523AC9" w:rsidRPr="00523AC9">
        <w:rPr>
          <w:szCs w:val="24"/>
        </w:rPr>
        <w:t xml:space="preserve"> </w:t>
      </w:r>
      <w:r w:rsidR="00523AC9" w:rsidRPr="000A3C75">
        <w:rPr>
          <w:szCs w:val="24"/>
        </w:rPr>
        <w:t>Cal. Gov. Code §§ 27263</w:t>
      </w:r>
      <w:r w:rsidR="00523AC9">
        <w:rPr>
          <w:szCs w:val="24"/>
        </w:rPr>
        <w:t xml:space="preserve"> and 27257</w:t>
      </w:r>
      <w:r w:rsidRPr="007B3996">
        <w:rPr>
          <w:szCs w:val="24"/>
        </w:rPr>
        <w:t xml:space="preserve">, as well as with the </w:t>
      </w:r>
      <w:r w:rsidR="00870E9D">
        <w:rPr>
          <w:szCs w:val="24"/>
        </w:rPr>
        <w:t xml:space="preserve">statutes affecting the authority </w:t>
      </w:r>
      <w:r w:rsidRPr="007B3996">
        <w:rPr>
          <w:szCs w:val="24"/>
        </w:rPr>
        <w:t>to exercise the power of sale</w:t>
      </w:r>
      <w:r w:rsidR="00523AC9">
        <w:rPr>
          <w:szCs w:val="24"/>
        </w:rPr>
        <w:t xml:space="preserve">, </w:t>
      </w:r>
      <w:r w:rsidR="00523AC9">
        <w:rPr>
          <w:iCs/>
          <w:szCs w:val="24"/>
        </w:rPr>
        <w:t>Cal. Civ. Code §§ 2924(a)(6) and 2934a(d),</w:t>
      </w:r>
      <w:r w:rsidRPr="007B3996">
        <w:rPr>
          <w:szCs w:val="24"/>
        </w:rPr>
        <w:t xml:space="preserve"> deeds of trust are treated largely the same as mortgages for the purposes of § 2932.5</w:t>
      </w:r>
      <w:r w:rsidR="00523AC9">
        <w:rPr>
          <w:szCs w:val="24"/>
        </w:rPr>
        <w:t>. Indeed, for</w:t>
      </w:r>
      <w:r>
        <w:rPr>
          <w:szCs w:val="24"/>
        </w:rPr>
        <w:t xml:space="preserve"> all other purposes explored by the California Supreme Court</w:t>
      </w:r>
      <w:r w:rsidR="00EC76B0">
        <w:rPr>
          <w:szCs w:val="24"/>
        </w:rPr>
        <w:t xml:space="preserve"> to date</w:t>
      </w:r>
      <w:r w:rsidR="00523AC9">
        <w:rPr>
          <w:szCs w:val="24"/>
        </w:rPr>
        <w:t>,</w:t>
      </w:r>
      <w:r w:rsidRPr="007B3996">
        <w:rPr>
          <w:szCs w:val="24"/>
        </w:rPr>
        <w:t xml:space="preserve"> </w:t>
      </w:r>
      <w:r w:rsidRPr="00994101">
        <w:rPr>
          <w:i/>
          <w:iCs/>
          <w:szCs w:val="24"/>
        </w:rPr>
        <w:t>Monterey</w:t>
      </w:r>
      <w:r w:rsidR="00523AC9">
        <w:rPr>
          <w:iCs/>
          <w:szCs w:val="24"/>
        </w:rPr>
        <w:t xml:space="preserve">, 49 Cal. 3d 461, </w:t>
      </w:r>
      <w:r>
        <w:rPr>
          <w:iCs/>
          <w:szCs w:val="24"/>
        </w:rPr>
        <w:t xml:space="preserve"> </w:t>
      </w:r>
      <w:r w:rsidRPr="000A3C75">
        <w:rPr>
          <w:i/>
          <w:szCs w:val="24"/>
        </w:rPr>
        <w:t>Burns</w:t>
      </w:r>
      <w:r w:rsidRPr="000A3C75">
        <w:rPr>
          <w:szCs w:val="24"/>
        </w:rPr>
        <w:t xml:space="preserve">, 5 Cal. 2d </w:t>
      </w:r>
      <w:r>
        <w:rPr>
          <w:szCs w:val="24"/>
        </w:rPr>
        <w:t xml:space="preserve">at </w:t>
      </w:r>
      <w:r w:rsidRPr="000A3C75">
        <w:rPr>
          <w:szCs w:val="24"/>
        </w:rPr>
        <w:t>625</w:t>
      </w:r>
      <w:r w:rsidR="00523AC9">
        <w:rPr>
          <w:szCs w:val="24"/>
        </w:rPr>
        <w:t>, and</w:t>
      </w:r>
      <w:r>
        <w:rPr>
          <w:szCs w:val="24"/>
        </w:rPr>
        <w:t xml:space="preserve"> </w:t>
      </w:r>
      <w:r w:rsidRPr="007B3996">
        <w:rPr>
          <w:i/>
          <w:szCs w:val="24"/>
        </w:rPr>
        <w:t>Bank of Italy</w:t>
      </w:r>
      <w:r w:rsidRPr="007B3996">
        <w:rPr>
          <w:szCs w:val="24"/>
        </w:rPr>
        <w:t>, 217 Cal. at 657</w:t>
      </w:r>
      <w:r w:rsidR="00523AC9">
        <w:rPr>
          <w:szCs w:val="24"/>
        </w:rPr>
        <w:t>, deeds of trusts and mortgages have been treated as functional equivalent</w:t>
      </w:r>
      <w:r w:rsidR="00293E92">
        <w:rPr>
          <w:szCs w:val="24"/>
        </w:rPr>
        <w:t>s</w:t>
      </w:r>
      <w:r w:rsidR="00523AC9">
        <w:rPr>
          <w:szCs w:val="24"/>
        </w:rPr>
        <w:t>.</w:t>
      </w:r>
      <w:r w:rsidR="00FB5C43">
        <w:rPr>
          <w:szCs w:val="24"/>
        </w:rPr>
        <w:t xml:space="preserve"> </w:t>
      </w:r>
      <w:r w:rsidR="00C87B0E">
        <w:rPr>
          <w:iCs/>
          <w:szCs w:val="24"/>
        </w:rPr>
        <w:t>This Court cannot reconcile the majorit</w:t>
      </w:r>
      <w:r w:rsidR="00293E92">
        <w:rPr>
          <w:iCs/>
          <w:szCs w:val="24"/>
        </w:rPr>
        <w:t>y's</w:t>
      </w:r>
      <w:r w:rsidR="00C87B0E">
        <w:rPr>
          <w:iCs/>
          <w:szCs w:val="24"/>
        </w:rPr>
        <w:t xml:space="preserve"> conclusion that </w:t>
      </w:r>
      <w:r w:rsidR="00920A89">
        <w:rPr>
          <w:szCs w:val="24"/>
        </w:rPr>
        <w:t>the trustee</w:t>
      </w:r>
      <w:r w:rsidR="00A21120">
        <w:rPr>
          <w:szCs w:val="24"/>
        </w:rPr>
        <w:t>,</w:t>
      </w:r>
      <w:r w:rsidR="00920A89">
        <w:rPr>
          <w:szCs w:val="24"/>
        </w:rPr>
        <w:t xml:space="preserve"> </w:t>
      </w:r>
      <w:r w:rsidR="00582F6D">
        <w:rPr>
          <w:szCs w:val="24"/>
        </w:rPr>
        <w:t>rather than the beneficiary</w:t>
      </w:r>
      <w:r w:rsidR="00A21120">
        <w:rPr>
          <w:szCs w:val="24"/>
        </w:rPr>
        <w:t>,</w:t>
      </w:r>
      <w:r w:rsidR="00582F6D">
        <w:rPr>
          <w:szCs w:val="24"/>
        </w:rPr>
        <w:t xml:space="preserve"> </w:t>
      </w:r>
      <w:r w:rsidR="00920A89">
        <w:rPr>
          <w:szCs w:val="24"/>
        </w:rPr>
        <w:t>ho</w:t>
      </w:r>
      <w:r w:rsidR="00582F6D">
        <w:rPr>
          <w:szCs w:val="24"/>
        </w:rPr>
        <w:t>lds the power of sale</w:t>
      </w:r>
      <w:r w:rsidR="00C87B0E">
        <w:rPr>
          <w:szCs w:val="24"/>
        </w:rPr>
        <w:t xml:space="preserve">, and that the trustee's interest of record is alone sufficient to prevent a gap in title, with this </w:t>
      </w:r>
      <w:r w:rsidR="00582F6D">
        <w:rPr>
          <w:szCs w:val="24"/>
        </w:rPr>
        <w:t>controlling authority</w:t>
      </w:r>
      <w:r w:rsidR="00C87B0E">
        <w:rPr>
          <w:szCs w:val="24"/>
        </w:rPr>
        <w:t xml:space="preserve">. For this reason, </w:t>
      </w:r>
      <w:r w:rsidR="00433C44">
        <w:rPr>
          <w:szCs w:val="24"/>
        </w:rPr>
        <w:t>this Court</w:t>
      </w:r>
      <w:r w:rsidR="00C87B0E">
        <w:rPr>
          <w:szCs w:val="24"/>
        </w:rPr>
        <w:t xml:space="preserve"> cannot join the majority view and except deeds of trust from </w:t>
      </w:r>
      <w:r w:rsidR="00C87B0E" w:rsidRPr="007B3996">
        <w:rPr>
          <w:szCs w:val="24"/>
        </w:rPr>
        <w:t>§ 2932.5</w:t>
      </w:r>
      <w:r w:rsidR="002C077E">
        <w:rPr>
          <w:szCs w:val="24"/>
        </w:rPr>
        <w:t xml:space="preserve"> to grant the Motion</w:t>
      </w:r>
      <w:r w:rsidR="003F5319">
        <w:rPr>
          <w:iCs/>
          <w:szCs w:val="24"/>
        </w:rPr>
        <w:t xml:space="preserve">. </w:t>
      </w:r>
      <w:r w:rsidR="00D24606" w:rsidRPr="000A3C75">
        <w:rPr>
          <w:szCs w:val="24"/>
        </w:rPr>
        <w:t>T</w:t>
      </w:r>
      <w:r w:rsidR="008E19B3" w:rsidRPr="000A3C75">
        <w:rPr>
          <w:color w:val="000000"/>
          <w:szCs w:val="24"/>
        </w:rPr>
        <w:t xml:space="preserve">his Court hopes that the higher authorities or the legislature will reconcile all of the applicable law on this topic for the benefit of the parties and the lower </w:t>
      </w:r>
      <w:r w:rsidR="008E19B3" w:rsidRPr="000A3C75">
        <w:rPr>
          <w:szCs w:val="24"/>
        </w:rPr>
        <w:t>courts</w:t>
      </w:r>
      <w:r w:rsidR="008E19B3" w:rsidRPr="000A3C75">
        <w:rPr>
          <w:color w:val="000000"/>
          <w:szCs w:val="24"/>
        </w:rPr>
        <w:t xml:space="preserve"> </w:t>
      </w:r>
      <w:r w:rsidR="008221FB">
        <w:rPr>
          <w:color w:val="000000"/>
          <w:szCs w:val="24"/>
        </w:rPr>
        <w:t>that</w:t>
      </w:r>
      <w:r w:rsidR="00B97071">
        <w:rPr>
          <w:color w:val="000000"/>
          <w:szCs w:val="24"/>
        </w:rPr>
        <w:t xml:space="preserve"> must grapple with this issue now or in the future</w:t>
      </w:r>
      <w:r w:rsidR="002C077E">
        <w:rPr>
          <w:color w:val="000000"/>
          <w:szCs w:val="24"/>
        </w:rPr>
        <w:t xml:space="preserve">. </w:t>
      </w:r>
      <w:r w:rsidR="007B3F47">
        <w:rPr>
          <w:color w:val="000000"/>
          <w:szCs w:val="24"/>
        </w:rPr>
        <w:t xml:space="preserve">This Court </w:t>
      </w:r>
      <w:r w:rsidR="00AA492C" w:rsidRPr="00E64D9C">
        <w:rPr>
          <w:color w:val="000000"/>
          <w:szCs w:val="24"/>
        </w:rPr>
        <w:t xml:space="preserve">writes this opinion </w:t>
      </w:r>
      <w:r w:rsidR="00127ADF">
        <w:rPr>
          <w:color w:val="000000"/>
          <w:szCs w:val="24"/>
        </w:rPr>
        <w:t xml:space="preserve">to add to the discussion </w:t>
      </w:r>
      <w:r w:rsidR="00582F6D">
        <w:rPr>
          <w:color w:val="000000"/>
          <w:szCs w:val="24"/>
        </w:rPr>
        <w:t xml:space="preserve">so that the </w:t>
      </w:r>
      <w:r w:rsidR="00127ADF">
        <w:rPr>
          <w:color w:val="000000"/>
          <w:szCs w:val="24"/>
        </w:rPr>
        <w:t xml:space="preserve">unsettled </w:t>
      </w:r>
      <w:r w:rsidR="00582F6D">
        <w:rPr>
          <w:color w:val="000000"/>
          <w:szCs w:val="24"/>
        </w:rPr>
        <w:t xml:space="preserve">issues raised here can </w:t>
      </w:r>
      <w:r w:rsidR="003F5319" w:rsidRPr="00E64D9C">
        <w:rPr>
          <w:color w:val="000000"/>
          <w:szCs w:val="24"/>
        </w:rPr>
        <w:t xml:space="preserve">be </w:t>
      </w:r>
      <w:r w:rsidR="002C077E">
        <w:rPr>
          <w:color w:val="000000"/>
          <w:szCs w:val="24"/>
        </w:rPr>
        <w:t>finally resolved, whatever the outcome</w:t>
      </w:r>
      <w:r w:rsidR="006B1E20">
        <w:rPr>
          <w:color w:val="000000"/>
          <w:szCs w:val="24"/>
        </w:rPr>
        <w:t xml:space="preserve">.  </w:t>
      </w:r>
    </w:p>
    <w:p w:rsidR="00D5037B" w:rsidRPr="00B43335" w:rsidRDefault="00C87B0E" w:rsidP="00D5037B">
      <w:pPr>
        <w:widowControl/>
        <w:spacing w:line="480" w:lineRule="exact"/>
        <w:ind w:firstLine="720"/>
        <w:rPr>
          <w:szCs w:val="24"/>
        </w:rPr>
      </w:pPr>
      <w:r>
        <w:rPr>
          <w:iCs/>
          <w:szCs w:val="24"/>
        </w:rPr>
        <w:t>Nevertheless, as noted before, w</w:t>
      </w:r>
      <w:r w:rsidR="009857C9" w:rsidRPr="000A3C75">
        <w:rPr>
          <w:iCs/>
          <w:szCs w:val="24"/>
        </w:rPr>
        <w:t>hether th</w:t>
      </w:r>
      <w:r w:rsidR="007B3F47">
        <w:rPr>
          <w:iCs/>
          <w:szCs w:val="24"/>
        </w:rPr>
        <w:t>is</w:t>
      </w:r>
      <w:r w:rsidR="009857C9" w:rsidRPr="000A3C75">
        <w:rPr>
          <w:iCs/>
          <w:szCs w:val="24"/>
        </w:rPr>
        <w:t xml:space="preserve"> Court is persuaded to change its mind </w:t>
      </w:r>
      <w:r w:rsidR="008E19B3" w:rsidRPr="000A3C75">
        <w:rPr>
          <w:iCs/>
          <w:szCs w:val="24"/>
        </w:rPr>
        <w:t xml:space="preserve">on the scope of </w:t>
      </w:r>
      <w:r w:rsidR="008E19B3" w:rsidRPr="000A3C75">
        <w:rPr>
          <w:szCs w:val="24"/>
        </w:rPr>
        <w:t>§ 2932.5</w:t>
      </w:r>
      <w:r w:rsidR="006B1E20">
        <w:rPr>
          <w:szCs w:val="24"/>
        </w:rPr>
        <w:t xml:space="preserve">, </w:t>
      </w:r>
      <w:r>
        <w:rPr>
          <w:szCs w:val="24"/>
        </w:rPr>
        <w:t>i</w:t>
      </w:r>
      <w:r w:rsidR="009857C9" w:rsidRPr="000A3C75">
        <w:rPr>
          <w:iCs/>
          <w:szCs w:val="24"/>
        </w:rPr>
        <w:t xml:space="preserve">s not </w:t>
      </w:r>
      <w:r w:rsidR="00AA492C">
        <w:rPr>
          <w:iCs/>
          <w:szCs w:val="24"/>
        </w:rPr>
        <w:t xml:space="preserve">truly </w:t>
      </w:r>
      <w:r w:rsidR="009857C9" w:rsidRPr="000A3C75">
        <w:rPr>
          <w:iCs/>
          <w:szCs w:val="24"/>
        </w:rPr>
        <w:t>the issue before th</w:t>
      </w:r>
      <w:r w:rsidR="007B3F47">
        <w:rPr>
          <w:iCs/>
          <w:szCs w:val="24"/>
        </w:rPr>
        <w:t>is</w:t>
      </w:r>
      <w:r w:rsidR="009857C9" w:rsidRPr="000A3C75">
        <w:rPr>
          <w:iCs/>
          <w:szCs w:val="24"/>
        </w:rPr>
        <w:t xml:space="preserve"> Court. </w:t>
      </w:r>
      <w:r w:rsidR="00D5037B" w:rsidRPr="000A3C75">
        <w:rPr>
          <w:szCs w:val="24"/>
        </w:rPr>
        <w:t xml:space="preserve">Rather, this Court </w:t>
      </w:r>
      <w:r w:rsidR="008E19B3" w:rsidRPr="000A3C75">
        <w:rPr>
          <w:szCs w:val="24"/>
        </w:rPr>
        <w:t>is tasked with determining whether there is convincing evidence the</w:t>
      </w:r>
      <w:r w:rsidR="00D5037B" w:rsidRPr="000A3C75">
        <w:rPr>
          <w:iCs/>
          <w:szCs w:val="24"/>
        </w:rPr>
        <w:t xml:space="preserve"> California Supreme Court would </w:t>
      </w:r>
      <w:r w:rsidR="009857C9" w:rsidRPr="000A3C75">
        <w:rPr>
          <w:iCs/>
          <w:szCs w:val="24"/>
        </w:rPr>
        <w:t xml:space="preserve">overrule </w:t>
      </w:r>
      <w:r w:rsidR="00D5037B" w:rsidRPr="000A3C75">
        <w:rPr>
          <w:szCs w:val="24"/>
        </w:rPr>
        <w:t>the state court decisions limiting the scope of § 2932.5 to mortgages</w:t>
      </w:r>
      <w:r w:rsidR="00D5037B" w:rsidRPr="000A3C75">
        <w:rPr>
          <w:iCs/>
          <w:szCs w:val="24"/>
        </w:rPr>
        <w:t xml:space="preserve">. </w:t>
      </w:r>
      <w:r w:rsidR="008E19B3" w:rsidRPr="000A3C75">
        <w:rPr>
          <w:i/>
          <w:iCs/>
          <w:szCs w:val="24"/>
        </w:rPr>
        <w:t>See Easyriders Freedom F.I.G.H.T. v. Hannigan,</w:t>
      </w:r>
      <w:r w:rsidR="008E19B3" w:rsidRPr="000A3C75">
        <w:rPr>
          <w:szCs w:val="24"/>
        </w:rPr>
        <w:t xml:space="preserve"> 92 F.3d 1486, 1494 n.4 (9th Cir. 1996)</w:t>
      </w:r>
      <w:r w:rsidR="00D24606" w:rsidRPr="000A3C75">
        <w:rPr>
          <w:szCs w:val="24"/>
        </w:rPr>
        <w:t xml:space="preserve"> </w:t>
      </w:r>
      <w:r w:rsidR="008E19B3" w:rsidRPr="000A3C75">
        <w:rPr>
          <w:szCs w:val="24"/>
        </w:rPr>
        <w:t>(</w:t>
      </w:r>
      <w:r w:rsidR="00D5037B" w:rsidRPr="000A3C75">
        <w:rPr>
          <w:szCs w:val="24"/>
        </w:rPr>
        <w:t>"In the absence of convincing evidence that the state supreme court would decide differently, a federal court is obligated to follow the decisions of the state's intermediate courts."</w:t>
      </w:r>
      <w:r w:rsidR="008E19B3" w:rsidRPr="000A3C75">
        <w:rPr>
          <w:szCs w:val="24"/>
        </w:rPr>
        <w:t>)</w:t>
      </w:r>
      <w:r w:rsidR="00D24606" w:rsidRPr="000A3C75">
        <w:rPr>
          <w:szCs w:val="24"/>
        </w:rPr>
        <w:t xml:space="preserve">.  </w:t>
      </w:r>
      <w:r>
        <w:rPr>
          <w:szCs w:val="24"/>
        </w:rPr>
        <w:t xml:space="preserve">In effect, this Court must step into the shoes of the California Supreme Court </w:t>
      </w:r>
      <w:r w:rsidR="002C077E">
        <w:rPr>
          <w:szCs w:val="24"/>
        </w:rPr>
        <w:t xml:space="preserve">and predict its future actions. </w:t>
      </w:r>
      <w:r>
        <w:rPr>
          <w:szCs w:val="24"/>
        </w:rPr>
        <w:t xml:space="preserve"> </w:t>
      </w:r>
      <w:r w:rsidR="00FC6B41" w:rsidRPr="000A3C75">
        <w:rPr>
          <w:szCs w:val="24"/>
        </w:rPr>
        <w:t xml:space="preserve">This is a task this Court </w:t>
      </w:r>
      <w:r w:rsidR="00AA492C">
        <w:rPr>
          <w:szCs w:val="24"/>
        </w:rPr>
        <w:t xml:space="preserve">must </w:t>
      </w:r>
      <w:r w:rsidR="00FC6B41" w:rsidRPr="000A3C75">
        <w:rPr>
          <w:szCs w:val="24"/>
        </w:rPr>
        <w:t>undertake with great reluctance, because t</w:t>
      </w:r>
      <w:r w:rsidR="00D5037B" w:rsidRPr="000A3C75">
        <w:rPr>
          <w:iCs/>
          <w:szCs w:val="24"/>
        </w:rPr>
        <w:t xml:space="preserve">he preferred course of action when the federal courts must resolve an unsettled issue of state law is to </w:t>
      </w:r>
      <w:r w:rsidR="00D5037B" w:rsidRPr="000A3C75">
        <w:rPr>
          <w:szCs w:val="24"/>
        </w:rPr>
        <w:t xml:space="preserve">certify </w:t>
      </w:r>
      <w:r w:rsidR="002C077E">
        <w:rPr>
          <w:szCs w:val="24"/>
        </w:rPr>
        <w:t>the unsettled issue</w:t>
      </w:r>
      <w:r w:rsidR="00D5037B" w:rsidRPr="000A3C75">
        <w:rPr>
          <w:szCs w:val="24"/>
        </w:rPr>
        <w:t xml:space="preserve"> to the California Supreme Court under California Rules of Court Rule 8.548</w:t>
      </w:r>
      <w:r w:rsidR="00582F6D">
        <w:rPr>
          <w:szCs w:val="24"/>
        </w:rPr>
        <w:t xml:space="preserve">. Certification is </w:t>
      </w:r>
      <w:r w:rsidR="00582F6D">
        <w:rPr>
          <w:szCs w:val="24"/>
        </w:rPr>
        <w:lastRenderedPageBreak/>
        <w:t xml:space="preserve">appropriate </w:t>
      </w:r>
      <w:r w:rsidR="00D5037B" w:rsidRPr="000A3C75">
        <w:rPr>
          <w:szCs w:val="24"/>
        </w:rPr>
        <w:t xml:space="preserve">in respect of the </w:t>
      </w:r>
      <w:r w:rsidR="00582F6D" w:rsidRPr="00B43335">
        <w:rPr>
          <w:szCs w:val="24"/>
        </w:rPr>
        <w:t xml:space="preserve">state </w:t>
      </w:r>
      <w:r w:rsidR="00D5037B" w:rsidRPr="00B43335">
        <w:rPr>
          <w:szCs w:val="24"/>
        </w:rPr>
        <w:t xml:space="preserve">court's proper purview over state law. </w:t>
      </w:r>
      <w:r w:rsidR="00D5037B" w:rsidRPr="00B43335">
        <w:rPr>
          <w:i/>
          <w:szCs w:val="24"/>
        </w:rPr>
        <w:t>Hayes v. County of San Diego,</w:t>
      </w:r>
      <w:r w:rsidR="00D5037B" w:rsidRPr="00B43335">
        <w:rPr>
          <w:szCs w:val="24"/>
        </w:rPr>
        <w:t xml:space="preserve"> 658 F.3d 867, 868 (9th Cir. 2011). </w:t>
      </w:r>
      <w:r w:rsidR="00AA492C" w:rsidRPr="00B43335">
        <w:rPr>
          <w:szCs w:val="24"/>
        </w:rPr>
        <w:t>Regrettably, t</w:t>
      </w:r>
      <w:r w:rsidR="00D5037B" w:rsidRPr="00B43335">
        <w:rPr>
          <w:szCs w:val="24"/>
        </w:rPr>
        <w:t xml:space="preserve">his avenue is not available </w:t>
      </w:r>
      <w:r w:rsidR="00AA492C" w:rsidRPr="00B43335">
        <w:rPr>
          <w:szCs w:val="24"/>
        </w:rPr>
        <w:t xml:space="preserve">to this Court </w:t>
      </w:r>
      <w:r w:rsidR="00D5037B" w:rsidRPr="00B43335">
        <w:rPr>
          <w:szCs w:val="24"/>
        </w:rPr>
        <w:t xml:space="preserve">despite the issue being one of pure state law. While the Ninth Circuit may certify unsettled issues to the California Supreme Court, bankruptcy courts may not. </w:t>
      </w:r>
      <w:r w:rsidR="00B43335" w:rsidRPr="00B43335">
        <w:rPr>
          <w:i/>
          <w:szCs w:val="24"/>
        </w:rPr>
        <w:t>See</w:t>
      </w:r>
      <w:r w:rsidR="00B43335">
        <w:rPr>
          <w:szCs w:val="24"/>
        </w:rPr>
        <w:t xml:space="preserve"> </w:t>
      </w:r>
      <w:r w:rsidR="00D5037B" w:rsidRPr="00B43335">
        <w:rPr>
          <w:i/>
          <w:iCs/>
          <w:szCs w:val="24"/>
        </w:rPr>
        <w:t>Beeman v. Anthem Prescription Mgmt., LLC</w:t>
      </w:r>
      <w:r w:rsidR="00D5037B" w:rsidRPr="00B43335">
        <w:rPr>
          <w:szCs w:val="24"/>
        </w:rPr>
        <w:t>, 689 F.3d 1002, 100</w:t>
      </w:r>
      <w:r w:rsidR="00B43335" w:rsidRPr="00B43335">
        <w:rPr>
          <w:szCs w:val="24"/>
        </w:rPr>
        <w:t>5</w:t>
      </w:r>
      <w:r w:rsidR="00D5037B" w:rsidRPr="00B43335">
        <w:rPr>
          <w:szCs w:val="24"/>
        </w:rPr>
        <w:t>-0</w:t>
      </w:r>
      <w:r w:rsidR="00B43335" w:rsidRPr="00B43335">
        <w:rPr>
          <w:szCs w:val="24"/>
        </w:rPr>
        <w:t>6</w:t>
      </w:r>
      <w:r w:rsidR="00D5037B" w:rsidRPr="00B43335">
        <w:rPr>
          <w:szCs w:val="24"/>
        </w:rPr>
        <w:t xml:space="preserve"> (9th Cir. 2012)</w:t>
      </w:r>
      <w:r w:rsidR="00433C44" w:rsidRPr="00B43335">
        <w:rPr>
          <w:szCs w:val="24"/>
        </w:rPr>
        <w:t xml:space="preserve"> (certifying question of state law to California Supreme Court</w:t>
      </w:r>
      <w:r w:rsidR="00B43335" w:rsidRPr="00B43335">
        <w:rPr>
          <w:szCs w:val="24"/>
        </w:rPr>
        <w:t xml:space="preserve"> pursuant to</w:t>
      </w:r>
      <w:r w:rsidR="00FC6B41" w:rsidRPr="00B43335">
        <w:rPr>
          <w:szCs w:val="24"/>
        </w:rPr>
        <w:t xml:space="preserve"> </w:t>
      </w:r>
      <w:r w:rsidR="00B43335" w:rsidRPr="00B43335">
        <w:rPr>
          <w:szCs w:val="24"/>
        </w:rPr>
        <w:t>Rule 8.548 of the California Rules of Court).</w:t>
      </w:r>
    </w:p>
    <w:p w:rsidR="00582F6D" w:rsidRDefault="00D5037B" w:rsidP="002D5696">
      <w:pPr>
        <w:widowControl/>
        <w:spacing w:line="480" w:lineRule="exact"/>
        <w:ind w:firstLine="720"/>
        <w:rPr>
          <w:color w:val="000000"/>
          <w:szCs w:val="24"/>
        </w:rPr>
      </w:pPr>
      <w:r w:rsidRPr="000A3C75">
        <w:rPr>
          <w:iCs/>
          <w:szCs w:val="24"/>
        </w:rPr>
        <w:t>Th</w:t>
      </w:r>
      <w:r w:rsidR="00FC6B41" w:rsidRPr="000A3C75">
        <w:rPr>
          <w:iCs/>
          <w:szCs w:val="24"/>
        </w:rPr>
        <w:t xml:space="preserve">is Court's hesitance </w:t>
      </w:r>
      <w:r w:rsidR="002C077E">
        <w:rPr>
          <w:iCs/>
          <w:szCs w:val="24"/>
        </w:rPr>
        <w:t xml:space="preserve">to </w:t>
      </w:r>
      <w:r w:rsidR="00FC6B41" w:rsidRPr="000A3C75">
        <w:rPr>
          <w:iCs/>
          <w:szCs w:val="24"/>
        </w:rPr>
        <w:t>rule on th</w:t>
      </w:r>
      <w:r w:rsidR="002C077E">
        <w:rPr>
          <w:iCs/>
          <w:szCs w:val="24"/>
        </w:rPr>
        <w:t xml:space="preserve">e convincing evidence standard </w:t>
      </w:r>
      <w:r w:rsidR="00FC6B41" w:rsidRPr="000A3C75">
        <w:rPr>
          <w:iCs/>
          <w:szCs w:val="24"/>
        </w:rPr>
        <w:t xml:space="preserve">is exacerbated by its </w:t>
      </w:r>
      <w:r w:rsidRPr="000A3C75">
        <w:rPr>
          <w:iCs/>
          <w:szCs w:val="24"/>
        </w:rPr>
        <w:t>inability as an Article I court to issue</w:t>
      </w:r>
      <w:r w:rsidR="00FC6B41" w:rsidRPr="000A3C75">
        <w:rPr>
          <w:iCs/>
          <w:szCs w:val="24"/>
        </w:rPr>
        <w:t xml:space="preserve"> a final ruling </w:t>
      </w:r>
      <w:r w:rsidR="00523AC9">
        <w:rPr>
          <w:iCs/>
          <w:szCs w:val="24"/>
        </w:rPr>
        <w:t>in this action</w:t>
      </w:r>
      <w:r w:rsidRPr="000A3C75">
        <w:rPr>
          <w:iCs/>
          <w:szCs w:val="24"/>
        </w:rPr>
        <w:t>.</w:t>
      </w:r>
      <w:r w:rsidRPr="000A3C75">
        <w:rPr>
          <w:szCs w:val="24"/>
        </w:rPr>
        <w:t xml:space="preserve"> This a</w:t>
      </w:r>
      <w:r w:rsidR="00AA492C">
        <w:rPr>
          <w:szCs w:val="24"/>
        </w:rPr>
        <w:t xml:space="preserve">dversary proceeding involves claims </w:t>
      </w:r>
      <w:r w:rsidRPr="000A3C75">
        <w:rPr>
          <w:szCs w:val="24"/>
        </w:rPr>
        <w:t xml:space="preserve">by the Debtor to augment the estate on issues of state law </w:t>
      </w:r>
      <w:r w:rsidRPr="000A3C75">
        <w:rPr>
          <w:iCs/>
          <w:color w:val="000000"/>
          <w:szCs w:val="24"/>
        </w:rPr>
        <w:t>against third parties who are not creditors of this estate and have not consented, implicitly or explicitly</w:t>
      </w:r>
      <w:r w:rsidR="00D70B0A" w:rsidRPr="000A3C75">
        <w:rPr>
          <w:iCs/>
          <w:color w:val="000000"/>
          <w:szCs w:val="24"/>
        </w:rPr>
        <w:t>,</w:t>
      </w:r>
      <w:r w:rsidRPr="000A3C75">
        <w:rPr>
          <w:iCs/>
          <w:color w:val="000000"/>
          <w:szCs w:val="24"/>
        </w:rPr>
        <w:t xml:space="preserve"> to this Court's jurisdiction. </w:t>
      </w:r>
      <w:r w:rsidRPr="000A3C75">
        <w:rPr>
          <w:i/>
          <w:iCs/>
          <w:color w:val="000000"/>
          <w:szCs w:val="24"/>
        </w:rPr>
        <w:t>See generally</w:t>
      </w:r>
      <w:r w:rsidRPr="000A3C75">
        <w:rPr>
          <w:iCs/>
          <w:color w:val="000000"/>
          <w:szCs w:val="24"/>
        </w:rPr>
        <w:t xml:space="preserve"> </w:t>
      </w:r>
      <w:r w:rsidR="00BD4C5A">
        <w:rPr>
          <w:i/>
          <w:iCs/>
          <w:szCs w:val="24"/>
        </w:rPr>
        <w:t xml:space="preserve">Northern Pipeline Constr. </w:t>
      </w:r>
      <w:r w:rsidRPr="000A3C75">
        <w:rPr>
          <w:i/>
          <w:iCs/>
          <w:szCs w:val="24"/>
        </w:rPr>
        <w:t>Co. v. Marathon Pipe Line Co.</w:t>
      </w:r>
      <w:r w:rsidRPr="000A3C75">
        <w:rPr>
          <w:szCs w:val="24"/>
        </w:rPr>
        <w:t>, 458 U.S. 50 (1982);</w:t>
      </w:r>
      <w:r w:rsidRPr="000A3C75">
        <w:rPr>
          <w:i/>
          <w:iCs/>
          <w:color w:val="000000"/>
          <w:szCs w:val="24"/>
        </w:rPr>
        <w:t xml:space="preserve"> see also </w:t>
      </w:r>
      <w:r w:rsidRPr="000A3C75">
        <w:rPr>
          <w:i/>
          <w:color w:val="000000"/>
          <w:szCs w:val="24"/>
        </w:rPr>
        <w:t>Chabot v. Wash. Mut. Bank</w:t>
      </w:r>
      <w:r w:rsidRPr="000A3C75">
        <w:rPr>
          <w:color w:val="000000"/>
          <w:szCs w:val="24"/>
        </w:rPr>
        <w:t xml:space="preserve"> (</w:t>
      </w:r>
      <w:r w:rsidRPr="000A3C75">
        <w:rPr>
          <w:i/>
          <w:iCs/>
          <w:color w:val="000000"/>
          <w:szCs w:val="24"/>
        </w:rPr>
        <w:t>In re Chabot)</w:t>
      </w:r>
      <w:r w:rsidRPr="000A3C75">
        <w:rPr>
          <w:color w:val="000000"/>
          <w:szCs w:val="24"/>
        </w:rPr>
        <w:t xml:space="preserve">, 369 B.R. 1, 24 (Bankr. Mont. 2007) (debtor’s claims regarding the validity of the loan transaction and premature wrongful foreclosure claim are non-core). </w:t>
      </w:r>
      <w:r w:rsidR="00FC6B41" w:rsidRPr="000A3C75">
        <w:rPr>
          <w:color w:val="000000"/>
          <w:szCs w:val="24"/>
        </w:rPr>
        <w:t>If</w:t>
      </w:r>
      <w:r w:rsidR="00B43335">
        <w:rPr>
          <w:color w:val="000000"/>
          <w:szCs w:val="24"/>
        </w:rPr>
        <w:t xml:space="preserve"> this Court were to rule on the </w:t>
      </w:r>
      <w:r w:rsidR="00FC6B41" w:rsidRPr="000A3C75">
        <w:rPr>
          <w:color w:val="000000"/>
          <w:szCs w:val="24"/>
        </w:rPr>
        <w:t xml:space="preserve">Motion, that ruling </w:t>
      </w:r>
      <w:r w:rsidRPr="000A3C75">
        <w:rPr>
          <w:color w:val="000000"/>
          <w:szCs w:val="24"/>
        </w:rPr>
        <w:t xml:space="preserve">would need to be reviewed </w:t>
      </w:r>
      <w:r w:rsidRPr="00523AC9">
        <w:rPr>
          <w:color w:val="000000"/>
          <w:szCs w:val="24"/>
        </w:rPr>
        <w:t>de novo</w:t>
      </w:r>
      <w:r w:rsidRPr="000A3C75">
        <w:rPr>
          <w:color w:val="000000"/>
          <w:szCs w:val="24"/>
        </w:rPr>
        <w:t xml:space="preserve"> by the District Court </w:t>
      </w:r>
      <w:r w:rsidR="00FC6B41" w:rsidRPr="000A3C75">
        <w:rPr>
          <w:color w:val="000000"/>
          <w:szCs w:val="24"/>
        </w:rPr>
        <w:t xml:space="preserve">before </w:t>
      </w:r>
      <w:r w:rsidRPr="000A3C75">
        <w:rPr>
          <w:color w:val="000000"/>
          <w:szCs w:val="24"/>
        </w:rPr>
        <w:t xml:space="preserve">it </w:t>
      </w:r>
      <w:r w:rsidR="00FC6B41" w:rsidRPr="000A3C75">
        <w:rPr>
          <w:color w:val="000000"/>
          <w:szCs w:val="24"/>
        </w:rPr>
        <w:t xml:space="preserve">could </w:t>
      </w:r>
      <w:r w:rsidRPr="000A3C75">
        <w:rPr>
          <w:color w:val="000000"/>
          <w:szCs w:val="24"/>
        </w:rPr>
        <w:t xml:space="preserve">become final. </w:t>
      </w:r>
      <w:r w:rsidRPr="000A3C75">
        <w:rPr>
          <w:i/>
          <w:szCs w:val="24"/>
        </w:rPr>
        <w:t>Exec. Benefits Ins. Agency v. Arkison (In re Bellingham Ins. Agency)</w:t>
      </w:r>
      <w:r w:rsidRPr="000A3C75">
        <w:rPr>
          <w:szCs w:val="24"/>
        </w:rPr>
        <w:t>, 702 F.3d 553, 566 (9th Cir. 2012).</w:t>
      </w:r>
      <w:r w:rsidR="00582F6D">
        <w:rPr>
          <w:szCs w:val="24"/>
        </w:rPr>
        <w:t xml:space="preserve"> </w:t>
      </w:r>
      <w:r w:rsidR="00523AC9">
        <w:rPr>
          <w:szCs w:val="24"/>
        </w:rPr>
        <w:t>This Court is loathe to</w:t>
      </w:r>
      <w:r w:rsidR="00582F6D">
        <w:rPr>
          <w:szCs w:val="24"/>
        </w:rPr>
        <w:t xml:space="preserve"> multiply the proceedings in federal court on an issue that must ultimately be decided in state court. </w:t>
      </w:r>
      <w:r w:rsidR="00AD2974">
        <w:rPr>
          <w:i/>
          <w:szCs w:val="24"/>
        </w:rPr>
        <w:t xml:space="preserve">See </w:t>
      </w:r>
      <w:r w:rsidR="00AD2974" w:rsidRPr="000A3C75">
        <w:rPr>
          <w:i/>
          <w:iCs/>
          <w:szCs w:val="24"/>
        </w:rPr>
        <w:t>BMW of N. Am., Inc. v. Gore,</w:t>
      </w:r>
      <w:r w:rsidR="00AD2974" w:rsidRPr="000A3C75">
        <w:rPr>
          <w:szCs w:val="24"/>
        </w:rPr>
        <w:t xml:space="preserve"> 517 U.S. 559, 577 (1996)</w:t>
      </w:r>
      <w:r w:rsidR="00AD2974">
        <w:rPr>
          <w:szCs w:val="24"/>
        </w:rPr>
        <w:t xml:space="preserve"> (</w:t>
      </w:r>
      <w:r w:rsidR="00582F6D" w:rsidRPr="000A3C75">
        <w:rPr>
          <w:szCs w:val="24"/>
        </w:rPr>
        <w:t>"</w:t>
      </w:r>
      <w:r w:rsidR="00AD2974">
        <w:rPr>
          <w:szCs w:val="24"/>
        </w:rPr>
        <w:t>[</w:t>
      </w:r>
      <w:r w:rsidR="00582F6D">
        <w:rPr>
          <w:szCs w:val="24"/>
        </w:rPr>
        <w:t>O</w:t>
      </w:r>
      <w:r w:rsidR="00AD2974">
        <w:rPr>
          <w:szCs w:val="24"/>
        </w:rPr>
        <w:t>]</w:t>
      </w:r>
      <w:r w:rsidR="00582F6D">
        <w:rPr>
          <w:szCs w:val="24"/>
        </w:rPr>
        <w:t>n</w:t>
      </w:r>
      <w:r w:rsidR="00582F6D" w:rsidRPr="000A3C75">
        <w:rPr>
          <w:szCs w:val="24"/>
        </w:rPr>
        <w:t>ly state courts may authoritatively construe state statutes</w:t>
      </w:r>
      <w:r w:rsidR="00AD2974">
        <w:rPr>
          <w:szCs w:val="24"/>
        </w:rPr>
        <w:t>.</w:t>
      </w:r>
      <w:r w:rsidR="00582F6D">
        <w:rPr>
          <w:szCs w:val="24"/>
        </w:rPr>
        <w:t>"</w:t>
      </w:r>
      <w:r w:rsidR="00AD2974">
        <w:rPr>
          <w:szCs w:val="24"/>
        </w:rPr>
        <w:t>)</w:t>
      </w:r>
      <w:r w:rsidR="00B43335">
        <w:rPr>
          <w:szCs w:val="24"/>
        </w:rPr>
        <w:t xml:space="preserve">. </w:t>
      </w:r>
      <w:r w:rsidR="00582F6D">
        <w:rPr>
          <w:szCs w:val="24"/>
        </w:rPr>
        <w:t xml:space="preserve">Because </w:t>
      </w:r>
      <w:r w:rsidR="00FC6B41" w:rsidRPr="000A3C75">
        <w:rPr>
          <w:color w:val="000000"/>
          <w:szCs w:val="24"/>
        </w:rPr>
        <w:t>the legal issues raised in the pleadings</w:t>
      </w:r>
      <w:r w:rsidR="00582F6D">
        <w:rPr>
          <w:color w:val="000000"/>
          <w:szCs w:val="24"/>
        </w:rPr>
        <w:t xml:space="preserve"> have been limited by earlier rulings by this Court</w:t>
      </w:r>
      <w:r w:rsidR="00D24606" w:rsidRPr="000A3C75">
        <w:rPr>
          <w:color w:val="000000"/>
          <w:szCs w:val="24"/>
        </w:rPr>
        <w:t>,</w:t>
      </w:r>
      <w:r w:rsidR="00FC6B41" w:rsidRPr="000A3C75">
        <w:rPr>
          <w:color w:val="000000"/>
          <w:szCs w:val="24"/>
        </w:rPr>
        <w:t xml:space="preserve"> there are currently no issues of federal juri</w:t>
      </w:r>
      <w:r w:rsidR="00D24606" w:rsidRPr="000A3C75">
        <w:rPr>
          <w:color w:val="000000"/>
          <w:szCs w:val="24"/>
        </w:rPr>
        <w:t>sdiction remaining in this case</w:t>
      </w:r>
      <w:r w:rsidR="00582F6D">
        <w:rPr>
          <w:color w:val="000000"/>
          <w:szCs w:val="24"/>
        </w:rPr>
        <w:t xml:space="preserve">. </w:t>
      </w:r>
    </w:p>
    <w:p w:rsidR="002D5696" w:rsidRPr="000A3C75" w:rsidRDefault="00582F6D" w:rsidP="002D5696">
      <w:pPr>
        <w:widowControl/>
        <w:spacing w:line="480" w:lineRule="exact"/>
        <w:ind w:firstLine="720"/>
        <w:rPr>
          <w:szCs w:val="24"/>
        </w:rPr>
      </w:pPr>
      <w:r>
        <w:rPr>
          <w:color w:val="000000"/>
          <w:szCs w:val="24"/>
        </w:rPr>
        <w:t>Due to both the jurisprudential and jurisdictional limitations of this Court issuing a final ruling,</w:t>
      </w:r>
      <w:r>
        <w:rPr>
          <w:szCs w:val="24"/>
        </w:rPr>
        <w:t xml:space="preserve"> </w:t>
      </w:r>
      <w:r w:rsidR="00D5037B" w:rsidRPr="000A3C75">
        <w:rPr>
          <w:color w:val="000000"/>
          <w:szCs w:val="24"/>
        </w:rPr>
        <w:t xml:space="preserve">this Court </w:t>
      </w:r>
      <w:r w:rsidR="002D5696" w:rsidRPr="000A3C75">
        <w:rPr>
          <w:color w:val="000000"/>
          <w:szCs w:val="24"/>
        </w:rPr>
        <w:t xml:space="preserve">is </w:t>
      </w:r>
      <w:r w:rsidR="00D5037B" w:rsidRPr="000A3C75">
        <w:rPr>
          <w:color w:val="000000"/>
          <w:szCs w:val="24"/>
        </w:rPr>
        <w:t>question</w:t>
      </w:r>
      <w:r w:rsidR="002D5696" w:rsidRPr="000A3C75">
        <w:rPr>
          <w:color w:val="000000"/>
          <w:szCs w:val="24"/>
        </w:rPr>
        <w:t xml:space="preserve">ing </w:t>
      </w:r>
      <w:r w:rsidR="00AD2974" w:rsidRPr="00AD2974">
        <w:rPr>
          <w:color w:val="000000"/>
          <w:szCs w:val="24"/>
        </w:rPr>
        <w:t>sua sponte</w:t>
      </w:r>
      <w:r w:rsidR="00D5037B" w:rsidRPr="000A3C75">
        <w:rPr>
          <w:rStyle w:val="FootnoteReference"/>
          <w:color w:val="000000"/>
          <w:szCs w:val="24"/>
        </w:rPr>
        <w:footnoteReference w:id="15"/>
      </w:r>
      <w:r w:rsidR="00D5037B" w:rsidRPr="000A3C75">
        <w:rPr>
          <w:color w:val="000000"/>
          <w:szCs w:val="24"/>
        </w:rPr>
        <w:t xml:space="preserve"> whether it should </w:t>
      </w:r>
      <w:r>
        <w:rPr>
          <w:color w:val="000000"/>
          <w:szCs w:val="24"/>
        </w:rPr>
        <w:t>disc</w:t>
      </w:r>
      <w:r w:rsidR="00D5037B" w:rsidRPr="000A3C75">
        <w:rPr>
          <w:color w:val="000000"/>
          <w:szCs w:val="24"/>
        </w:rPr>
        <w:t xml:space="preserve">retionarily abstain from </w:t>
      </w:r>
      <w:r w:rsidR="00D5037B" w:rsidRPr="000A3C75">
        <w:rPr>
          <w:color w:val="000000"/>
          <w:szCs w:val="24"/>
        </w:rPr>
        <w:lastRenderedPageBreak/>
        <w:t xml:space="preserve">hearing this case in lieu of deciding the convincing evidence issue. </w:t>
      </w:r>
      <w:r w:rsidR="002D5696" w:rsidRPr="000A3C75">
        <w:rPr>
          <w:color w:val="000000"/>
          <w:szCs w:val="24"/>
        </w:rPr>
        <w:t xml:space="preserve">Because there is no pending state court proceeding to remand this adversary proceeding, Debtor would be required to bring a separate action in state court. </w:t>
      </w:r>
      <w:r w:rsidR="00D5037B" w:rsidRPr="000A3C75">
        <w:rPr>
          <w:i/>
          <w:color w:val="000000"/>
          <w:szCs w:val="24"/>
        </w:rPr>
        <w:t xml:space="preserve">See </w:t>
      </w:r>
      <w:r w:rsidR="00D5037B" w:rsidRPr="000A3C75">
        <w:rPr>
          <w:i/>
          <w:szCs w:val="24"/>
        </w:rPr>
        <w:t>Eastport Assoc</w:t>
      </w:r>
      <w:r w:rsidR="00C4051E">
        <w:rPr>
          <w:i/>
          <w:szCs w:val="24"/>
        </w:rPr>
        <w:t>s.</w:t>
      </w:r>
      <w:r w:rsidR="00D5037B" w:rsidRPr="000A3C75">
        <w:rPr>
          <w:i/>
          <w:szCs w:val="24"/>
        </w:rPr>
        <w:t xml:space="preserve"> v. City of Los Angeles (In re Eastport Assocs</w:t>
      </w:r>
      <w:r w:rsidR="00B43335">
        <w:rPr>
          <w:i/>
          <w:szCs w:val="24"/>
        </w:rPr>
        <w:t>.</w:t>
      </w:r>
      <w:r w:rsidR="00D5037B" w:rsidRPr="000A3C75">
        <w:rPr>
          <w:i/>
          <w:szCs w:val="24"/>
        </w:rPr>
        <w:t>)</w:t>
      </w:r>
      <w:r w:rsidR="00D5037B" w:rsidRPr="000A3C75">
        <w:rPr>
          <w:szCs w:val="24"/>
        </w:rPr>
        <w:t xml:space="preserve">, 935 F.2d 1071 (9th Cir. 1991) (abstaining where no state court action was pending); </w:t>
      </w:r>
      <w:r w:rsidR="00D5037B" w:rsidRPr="000A3C75">
        <w:rPr>
          <w:i/>
          <w:szCs w:val="24"/>
        </w:rPr>
        <w:t>Schulman v. California (In re Lazar)</w:t>
      </w:r>
      <w:r w:rsidR="00D5037B" w:rsidRPr="000A3C75">
        <w:rPr>
          <w:szCs w:val="24"/>
        </w:rPr>
        <w:t>, 237 F.3d 967, 982 (9th Cir. 2001) (abstention not available where the remand provisions of 28 U</w:t>
      </w:r>
      <w:r w:rsidR="00B43335">
        <w:rPr>
          <w:szCs w:val="24"/>
        </w:rPr>
        <w:t>.</w:t>
      </w:r>
      <w:r w:rsidR="00D5037B" w:rsidRPr="000A3C75">
        <w:rPr>
          <w:szCs w:val="24"/>
        </w:rPr>
        <w:t>S</w:t>
      </w:r>
      <w:r w:rsidR="00B43335">
        <w:rPr>
          <w:szCs w:val="24"/>
        </w:rPr>
        <w:t>.</w:t>
      </w:r>
      <w:r w:rsidR="00D5037B" w:rsidRPr="000A3C75">
        <w:rPr>
          <w:szCs w:val="24"/>
        </w:rPr>
        <w:t>C</w:t>
      </w:r>
      <w:r w:rsidR="00B43335">
        <w:rPr>
          <w:szCs w:val="24"/>
        </w:rPr>
        <w:t>.</w:t>
      </w:r>
      <w:r w:rsidR="00D5037B" w:rsidRPr="000A3C75">
        <w:rPr>
          <w:szCs w:val="24"/>
        </w:rPr>
        <w:t xml:space="preserve"> § 1452(b) are applicable, and distinguishing </w:t>
      </w:r>
      <w:r w:rsidR="00D5037B" w:rsidRPr="000A3C75">
        <w:rPr>
          <w:i/>
          <w:szCs w:val="24"/>
        </w:rPr>
        <w:t xml:space="preserve">Eastport </w:t>
      </w:r>
      <w:r w:rsidR="00D5037B" w:rsidRPr="000A3C75">
        <w:rPr>
          <w:szCs w:val="24"/>
        </w:rPr>
        <w:t>accordingly). Many</w:t>
      </w:r>
      <w:r w:rsidR="00147E90" w:rsidRPr="000A3C75">
        <w:rPr>
          <w:szCs w:val="24"/>
        </w:rPr>
        <w:t>,</w:t>
      </w:r>
      <w:r w:rsidR="00D5037B" w:rsidRPr="000A3C75">
        <w:rPr>
          <w:szCs w:val="24"/>
        </w:rPr>
        <w:t xml:space="preserve"> if not all</w:t>
      </w:r>
      <w:r w:rsidR="00147E90" w:rsidRPr="000A3C75">
        <w:rPr>
          <w:szCs w:val="24"/>
        </w:rPr>
        <w:t>,</w:t>
      </w:r>
      <w:r w:rsidR="00D5037B" w:rsidRPr="000A3C75">
        <w:rPr>
          <w:szCs w:val="24"/>
        </w:rPr>
        <w:t xml:space="preserve"> of the factors for discretionary abstention identified in </w:t>
      </w:r>
      <w:r w:rsidR="00D5037B" w:rsidRPr="000A3C75">
        <w:rPr>
          <w:i/>
          <w:color w:val="000000"/>
          <w:szCs w:val="24"/>
        </w:rPr>
        <w:t>Christensen v. Tuscon Estates, Inc.</w:t>
      </w:r>
      <w:r w:rsidR="00D5037B" w:rsidRPr="000A3C75">
        <w:rPr>
          <w:color w:val="000000"/>
          <w:szCs w:val="24"/>
        </w:rPr>
        <w:t xml:space="preserve"> (</w:t>
      </w:r>
      <w:r w:rsidR="00D5037B" w:rsidRPr="000A3C75">
        <w:rPr>
          <w:i/>
          <w:iCs/>
          <w:color w:val="000000"/>
          <w:szCs w:val="24"/>
        </w:rPr>
        <w:t>In re Tucson Estates, Inc</w:t>
      </w:r>
      <w:r w:rsidR="004862A6" w:rsidRPr="000A3C75">
        <w:rPr>
          <w:i/>
          <w:iCs/>
          <w:color w:val="000000"/>
          <w:szCs w:val="24"/>
        </w:rPr>
        <w:t>.</w:t>
      </w:r>
      <w:r w:rsidR="00D5037B" w:rsidRPr="000A3C75">
        <w:rPr>
          <w:i/>
          <w:iCs/>
          <w:color w:val="000000"/>
          <w:szCs w:val="24"/>
        </w:rPr>
        <w:t>),</w:t>
      </w:r>
      <w:r w:rsidR="00D5037B" w:rsidRPr="000A3C75">
        <w:rPr>
          <w:color w:val="000000"/>
          <w:szCs w:val="24"/>
        </w:rPr>
        <w:t xml:space="preserve"> 912 F. 2d. 1162, 1167 (9th Cir. 1990)</w:t>
      </w:r>
      <w:r w:rsidR="00C4051E">
        <w:rPr>
          <w:color w:val="000000"/>
          <w:szCs w:val="24"/>
        </w:rPr>
        <w:t>,</w:t>
      </w:r>
      <w:r w:rsidR="00D5037B" w:rsidRPr="000A3C75">
        <w:rPr>
          <w:color w:val="000000"/>
          <w:szCs w:val="24"/>
        </w:rPr>
        <w:t xml:space="preserve"> are met </w:t>
      </w:r>
      <w:r w:rsidR="00440735">
        <w:rPr>
          <w:color w:val="000000"/>
          <w:szCs w:val="24"/>
        </w:rPr>
        <w:t xml:space="preserve">here </w:t>
      </w:r>
      <w:r w:rsidR="007028EC" w:rsidRPr="000A3C75">
        <w:rPr>
          <w:color w:val="000000"/>
          <w:szCs w:val="24"/>
        </w:rPr>
        <w:t>due to</w:t>
      </w:r>
      <w:r w:rsidR="007B3F47">
        <w:rPr>
          <w:color w:val="000000"/>
          <w:szCs w:val="24"/>
        </w:rPr>
        <w:t>:  1)</w:t>
      </w:r>
      <w:r w:rsidR="007028EC" w:rsidRPr="000A3C75">
        <w:rPr>
          <w:color w:val="000000"/>
          <w:szCs w:val="24"/>
        </w:rPr>
        <w:t xml:space="preserve"> </w:t>
      </w:r>
      <w:r w:rsidR="002A0014" w:rsidRPr="000A3C75">
        <w:rPr>
          <w:color w:val="000000"/>
          <w:szCs w:val="24"/>
        </w:rPr>
        <w:t>the extent that state law issues predominate</w:t>
      </w:r>
      <w:r w:rsidR="007B3F47">
        <w:rPr>
          <w:color w:val="000000"/>
          <w:szCs w:val="24"/>
        </w:rPr>
        <w:t xml:space="preserve">; 2) </w:t>
      </w:r>
      <w:r w:rsidR="002A0014" w:rsidRPr="000A3C75">
        <w:rPr>
          <w:color w:val="000000"/>
          <w:szCs w:val="24"/>
        </w:rPr>
        <w:t>the unsettled nature of the applicable state law</w:t>
      </w:r>
      <w:r w:rsidR="007B3F47">
        <w:rPr>
          <w:color w:val="000000"/>
          <w:szCs w:val="24"/>
        </w:rPr>
        <w:t xml:space="preserve">; 3) </w:t>
      </w:r>
      <w:r w:rsidR="007028EC" w:rsidRPr="000A3C75">
        <w:rPr>
          <w:color w:val="000000"/>
          <w:szCs w:val="24"/>
        </w:rPr>
        <w:t xml:space="preserve">the lack of </w:t>
      </w:r>
      <w:r w:rsidR="002A0014" w:rsidRPr="000A3C75">
        <w:rPr>
          <w:color w:val="000000"/>
          <w:szCs w:val="24"/>
        </w:rPr>
        <w:t>jurisdictional basis</w:t>
      </w:r>
      <w:r w:rsidR="007B3F47">
        <w:rPr>
          <w:color w:val="000000"/>
          <w:szCs w:val="24"/>
        </w:rPr>
        <w:t>;</w:t>
      </w:r>
      <w:r w:rsidR="002A0014" w:rsidRPr="000A3C75">
        <w:rPr>
          <w:color w:val="000000"/>
          <w:szCs w:val="24"/>
        </w:rPr>
        <w:t xml:space="preserve"> </w:t>
      </w:r>
      <w:r w:rsidR="002D5696" w:rsidRPr="000A3C75">
        <w:rPr>
          <w:color w:val="000000"/>
          <w:szCs w:val="24"/>
        </w:rPr>
        <w:t xml:space="preserve">and </w:t>
      </w:r>
      <w:r w:rsidR="007B3F47">
        <w:rPr>
          <w:color w:val="000000"/>
          <w:szCs w:val="24"/>
        </w:rPr>
        <w:t xml:space="preserve">4) </w:t>
      </w:r>
      <w:r w:rsidR="002D5696" w:rsidRPr="000A3C75">
        <w:rPr>
          <w:color w:val="000000"/>
          <w:szCs w:val="24"/>
        </w:rPr>
        <w:t>because of this Court's limited authority to issue a final ruling</w:t>
      </w:r>
      <w:r w:rsidR="002A0014" w:rsidRPr="000A3C75">
        <w:rPr>
          <w:color w:val="000000"/>
          <w:szCs w:val="24"/>
        </w:rPr>
        <w:t xml:space="preserve"> on non-core matters</w:t>
      </w:r>
      <w:r w:rsidR="002D5696" w:rsidRPr="000A3C75">
        <w:rPr>
          <w:color w:val="000000"/>
          <w:szCs w:val="24"/>
        </w:rPr>
        <w:t xml:space="preserve">. </w:t>
      </w:r>
      <w:r w:rsidR="00D5037B" w:rsidRPr="000A3C75">
        <w:rPr>
          <w:color w:val="000000"/>
          <w:szCs w:val="24"/>
        </w:rPr>
        <w:t xml:space="preserve">However, the Court will consider the views of the parties </w:t>
      </w:r>
      <w:r w:rsidR="002D5696" w:rsidRPr="000A3C75">
        <w:rPr>
          <w:color w:val="000000"/>
          <w:szCs w:val="24"/>
        </w:rPr>
        <w:t xml:space="preserve">on the discretionary abstention issue </w:t>
      </w:r>
      <w:r w:rsidR="00D5037B" w:rsidRPr="000A3C75">
        <w:rPr>
          <w:color w:val="000000"/>
          <w:szCs w:val="24"/>
        </w:rPr>
        <w:t>before it</w:t>
      </w:r>
      <w:r w:rsidR="002D5696" w:rsidRPr="000A3C75">
        <w:rPr>
          <w:color w:val="000000"/>
          <w:szCs w:val="24"/>
        </w:rPr>
        <w:t xml:space="preserve"> decides </w:t>
      </w:r>
      <w:r w:rsidR="00C4051E">
        <w:rPr>
          <w:color w:val="000000"/>
          <w:szCs w:val="24"/>
        </w:rPr>
        <w:t>whether to abstain</w:t>
      </w:r>
      <w:r w:rsidR="002D5696" w:rsidRPr="000A3C75">
        <w:rPr>
          <w:color w:val="000000"/>
          <w:szCs w:val="24"/>
        </w:rPr>
        <w:t xml:space="preserve">. </w:t>
      </w:r>
    </w:p>
    <w:p w:rsidR="00D5037B" w:rsidRPr="000A3C75" w:rsidRDefault="00FD01AC" w:rsidP="00D5037B">
      <w:pPr>
        <w:widowControl/>
        <w:spacing w:line="480" w:lineRule="exact"/>
        <w:ind w:firstLine="720"/>
        <w:rPr>
          <w:b/>
          <w:bCs/>
          <w:szCs w:val="24"/>
        </w:rPr>
      </w:pPr>
      <w:r w:rsidRPr="000A3C75">
        <w:rPr>
          <w:szCs w:val="24"/>
        </w:rPr>
        <w:t>Th</w:t>
      </w:r>
      <w:r w:rsidR="007B3F47">
        <w:rPr>
          <w:szCs w:val="24"/>
        </w:rPr>
        <w:t>is</w:t>
      </w:r>
      <w:r w:rsidRPr="000A3C75">
        <w:rPr>
          <w:szCs w:val="24"/>
        </w:rPr>
        <w:t xml:space="preserve"> Court thus invites </w:t>
      </w:r>
      <w:r w:rsidR="00D5037B" w:rsidRPr="000A3C75">
        <w:rPr>
          <w:szCs w:val="24"/>
        </w:rPr>
        <w:t xml:space="preserve">the parties </w:t>
      </w:r>
      <w:r w:rsidRPr="000A3C75">
        <w:rPr>
          <w:szCs w:val="24"/>
        </w:rPr>
        <w:t xml:space="preserve">to </w:t>
      </w:r>
      <w:r w:rsidR="00D5037B" w:rsidRPr="000A3C75">
        <w:rPr>
          <w:szCs w:val="24"/>
        </w:rPr>
        <w:t xml:space="preserve">file supplemental papers </w:t>
      </w:r>
      <w:r w:rsidRPr="000A3C75">
        <w:rPr>
          <w:szCs w:val="24"/>
        </w:rPr>
        <w:t xml:space="preserve">whether </w:t>
      </w:r>
      <w:r w:rsidR="007B3F47">
        <w:rPr>
          <w:szCs w:val="24"/>
        </w:rPr>
        <w:t xml:space="preserve">it should </w:t>
      </w:r>
      <w:r w:rsidR="00D5037B" w:rsidRPr="000A3C75">
        <w:rPr>
          <w:szCs w:val="24"/>
        </w:rPr>
        <w:t>discretionar</w:t>
      </w:r>
      <w:r w:rsidRPr="000A3C75">
        <w:rPr>
          <w:szCs w:val="24"/>
        </w:rPr>
        <w:t xml:space="preserve">ily </w:t>
      </w:r>
      <w:r w:rsidR="00D5037B" w:rsidRPr="000A3C75">
        <w:rPr>
          <w:szCs w:val="24"/>
        </w:rPr>
        <w:t>abst</w:t>
      </w:r>
      <w:r w:rsidRPr="000A3C75">
        <w:rPr>
          <w:szCs w:val="24"/>
        </w:rPr>
        <w:t xml:space="preserve">ain from hearing this case to be filed </w:t>
      </w:r>
      <w:r w:rsidR="00D5037B" w:rsidRPr="000A3C75">
        <w:rPr>
          <w:szCs w:val="24"/>
        </w:rPr>
        <w:t xml:space="preserve">not later than </w:t>
      </w:r>
      <w:r w:rsidR="00D5037B" w:rsidRPr="000A3C75">
        <w:rPr>
          <w:b/>
          <w:szCs w:val="24"/>
        </w:rPr>
        <w:t>May 16, 2013</w:t>
      </w:r>
      <w:r w:rsidR="00D5037B" w:rsidRPr="000A3C75">
        <w:rPr>
          <w:szCs w:val="24"/>
        </w:rPr>
        <w:t>. Th</w:t>
      </w:r>
      <w:r w:rsidR="007B3F47">
        <w:rPr>
          <w:szCs w:val="24"/>
        </w:rPr>
        <w:t>is</w:t>
      </w:r>
      <w:r w:rsidR="00D5037B" w:rsidRPr="000A3C75">
        <w:rPr>
          <w:szCs w:val="24"/>
        </w:rPr>
        <w:t xml:space="preserve"> Court will then </w:t>
      </w:r>
      <w:r w:rsidRPr="000A3C75">
        <w:rPr>
          <w:szCs w:val="24"/>
        </w:rPr>
        <w:t xml:space="preserve">enter an order of </w:t>
      </w:r>
      <w:r w:rsidR="00D5037B" w:rsidRPr="000A3C75">
        <w:rPr>
          <w:szCs w:val="24"/>
        </w:rPr>
        <w:t>abst</w:t>
      </w:r>
      <w:r w:rsidRPr="000A3C75">
        <w:rPr>
          <w:szCs w:val="24"/>
        </w:rPr>
        <w:t xml:space="preserve">ention, </w:t>
      </w:r>
      <w:r w:rsidR="00D5037B" w:rsidRPr="000A3C75">
        <w:rPr>
          <w:szCs w:val="24"/>
        </w:rPr>
        <w:t xml:space="preserve">or make its final ruling as to whether there is convincing evidence the California Supreme Court would not adhere to the </w:t>
      </w:r>
      <w:r w:rsidR="00C81D0D" w:rsidRPr="000A3C75">
        <w:rPr>
          <w:szCs w:val="24"/>
        </w:rPr>
        <w:t xml:space="preserve">intermediate </w:t>
      </w:r>
      <w:r w:rsidR="00C81D0D">
        <w:rPr>
          <w:szCs w:val="24"/>
        </w:rPr>
        <w:t xml:space="preserve">state court decisions' </w:t>
      </w:r>
      <w:r w:rsidR="008620AE" w:rsidRPr="000A3C75">
        <w:rPr>
          <w:szCs w:val="24"/>
        </w:rPr>
        <w:t>view of § 2932.5</w:t>
      </w:r>
      <w:r w:rsidRPr="000A3C75">
        <w:rPr>
          <w:szCs w:val="24"/>
        </w:rPr>
        <w:t xml:space="preserve">. </w:t>
      </w:r>
      <w:r w:rsidR="00D5037B" w:rsidRPr="000A3C75">
        <w:rPr>
          <w:szCs w:val="24"/>
        </w:rPr>
        <w:t xml:space="preserve"> </w:t>
      </w:r>
    </w:p>
    <w:p w:rsidR="003823FB" w:rsidRPr="000A3C75" w:rsidRDefault="003823FB" w:rsidP="00D5037B">
      <w:pPr>
        <w:widowControl/>
        <w:spacing w:line="480" w:lineRule="exact"/>
        <w:jc w:val="both"/>
        <w:rPr>
          <w:szCs w:val="24"/>
        </w:rPr>
      </w:pPr>
    </w:p>
    <w:p w:rsidR="009F53BA" w:rsidRPr="000A3C75" w:rsidRDefault="009F53BA" w:rsidP="00D5037B">
      <w:pPr>
        <w:widowControl/>
        <w:spacing w:line="480" w:lineRule="exact"/>
        <w:jc w:val="both"/>
        <w:rPr>
          <w:szCs w:val="24"/>
        </w:rPr>
      </w:pPr>
      <w:r w:rsidRPr="000A3C75">
        <w:rPr>
          <w:szCs w:val="24"/>
        </w:rPr>
        <w:t xml:space="preserve">Dated: </w:t>
      </w:r>
      <w:r w:rsidR="005270DD" w:rsidRPr="000A3C75">
        <w:rPr>
          <w:szCs w:val="24"/>
        </w:rPr>
        <w:fldChar w:fldCharType="begin"/>
      </w:r>
      <w:r w:rsidRPr="000A3C75">
        <w:rPr>
          <w:szCs w:val="24"/>
        </w:rPr>
        <w:instrText xml:space="preserve"> DATE \@ "MMMM d, yyyy" </w:instrText>
      </w:r>
      <w:r w:rsidR="005270DD" w:rsidRPr="000A3C75">
        <w:rPr>
          <w:szCs w:val="24"/>
        </w:rPr>
        <w:fldChar w:fldCharType="separate"/>
      </w:r>
      <w:r w:rsidR="00527415">
        <w:rPr>
          <w:noProof/>
          <w:szCs w:val="24"/>
        </w:rPr>
        <w:t>June 10, 2013</w:t>
      </w:r>
      <w:r w:rsidR="005270DD" w:rsidRPr="000A3C75">
        <w:rPr>
          <w:noProof/>
          <w:szCs w:val="24"/>
        </w:rPr>
        <w:fldChar w:fldCharType="end"/>
      </w:r>
      <w:r w:rsidRPr="000A3C75">
        <w:rPr>
          <w:szCs w:val="24"/>
        </w:rPr>
        <w:tab/>
      </w:r>
      <w:r w:rsidR="003823FB" w:rsidRPr="000A3C75">
        <w:rPr>
          <w:szCs w:val="24"/>
        </w:rPr>
        <w:tab/>
      </w:r>
      <w:r w:rsidR="003823FB" w:rsidRPr="000A3C75">
        <w:rPr>
          <w:szCs w:val="24"/>
        </w:rPr>
        <w:tab/>
      </w:r>
      <w:r w:rsidR="003823FB" w:rsidRPr="000A3C75">
        <w:rPr>
          <w:szCs w:val="24"/>
        </w:rPr>
        <w:tab/>
      </w:r>
      <w:r w:rsidRPr="000A3C75">
        <w:rPr>
          <w:szCs w:val="24"/>
        </w:rPr>
        <w:t>_______________________________</w:t>
      </w:r>
    </w:p>
    <w:p w:rsidR="009F53BA" w:rsidRPr="000A3C75" w:rsidRDefault="009F53BA" w:rsidP="009F53BA">
      <w:pPr>
        <w:widowControl/>
        <w:spacing w:line="240" w:lineRule="auto"/>
        <w:jc w:val="both"/>
        <w:rPr>
          <w:szCs w:val="24"/>
        </w:rPr>
      </w:pPr>
      <w:r w:rsidRPr="000A3C75">
        <w:rPr>
          <w:szCs w:val="24"/>
        </w:rPr>
        <w:tab/>
      </w:r>
      <w:r w:rsidRPr="000A3C75">
        <w:rPr>
          <w:szCs w:val="24"/>
        </w:rPr>
        <w:tab/>
      </w:r>
      <w:r w:rsidRPr="000A3C75">
        <w:rPr>
          <w:szCs w:val="24"/>
        </w:rPr>
        <w:tab/>
      </w:r>
      <w:r w:rsidRPr="000A3C75">
        <w:rPr>
          <w:szCs w:val="24"/>
        </w:rPr>
        <w:tab/>
      </w:r>
      <w:r w:rsidRPr="000A3C75">
        <w:rPr>
          <w:szCs w:val="24"/>
        </w:rPr>
        <w:tab/>
      </w:r>
      <w:r w:rsidRPr="000A3C75">
        <w:rPr>
          <w:szCs w:val="24"/>
        </w:rPr>
        <w:tab/>
        <w:t>MARGARET M. MANN, JUDGE</w:t>
      </w:r>
    </w:p>
    <w:p w:rsidR="009F53BA" w:rsidRPr="000A3C75" w:rsidRDefault="009F53BA" w:rsidP="009F53BA">
      <w:pPr>
        <w:widowControl/>
        <w:spacing w:line="240" w:lineRule="auto"/>
        <w:jc w:val="both"/>
        <w:rPr>
          <w:szCs w:val="24"/>
        </w:rPr>
      </w:pPr>
      <w:r w:rsidRPr="000A3C75">
        <w:rPr>
          <w:szCs w:val="24"/>
        </w:rPr>
        <w:tab/>
      </w:r>
      <w:r w:rsidRPr="000A3C75">
        <w:rPr>
          <w:szCs w:val="24"/>
        </w:rPr>
        <w:tab/>
      </w:r>
      <w:r w:rsidRPr="000A3C75">
        <w:rPr>
          <w:szCs w:val="24"/>
        </w:rPr>
        <w:tab/>
      </w:r>
      <w:r w:rsidRPr="000A3C75">
        <w:rPr>
          <w:szCs w:val="24"/>
        </w:rPr>
        <w:tab/>
      </w:r>
      <w:r w:rsidRPr="000A3C75">
        <w:rPr>
          <w:szCs w:val="24"/>
        </w:rPr>
        <w:tab/>
      </w:r>
      <w:r w:rsidRPr="000A3C75">
        <w:rPr>
          <w:szCs w:val="24"/>
        </w:rPr>
        <w:tab/>
        <w:t>United States Bankruptcy Court</w:t>
      </w:r>
    </w:p>
    <w:sectPr w:rsidR="009F53BA" w:rsidRPr="000A3C75" w:rsidSect="00F21F1D">
      <w:headerReference w:type="default" r:id="rId9"/>
      <w:footerReference w:type="default" r:id="rId10"/>
      <w:headerReference w:type="first" r:id="rId11"/>
      <w:pgSz w:w="12240" w:h="15840" w:code="1"/>
      <w:pgMar w:top="1440" w:right="1440" w:bottom="720" w:left="1440" w:header="720" w:footer="36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B77" w:rsidRDefault="009B2B77">
      <w:r>
        <w:separator/>
      </w:r>
    </w:p>
  </w:endnote>
  <w:endnote w:type="continuationSeparator" w:id="0">
    <w:p w:rsidR="009B2B77" w:rsidRDefault="009B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768813"/>
      <w:docPartObj>
        <w:docPartGallery w:val="Page Numbers (Bottom of Page)"/>
        <w:docPartUnique/>
      </w:docPartObj>
    </w:sdtPr>
    <w:sdtEndPr>
      <w:rPr>
        <w:noProof/>
      </w:rPr>
    </w:sdtEndPr>
    <w:sdtContent>
      <w:p w:rsidR="00B9025B" w:rsidRDefault="00B9025B">
        <w:pPr>
          <w:pStyle w:val="Footer"/>
          <w:jc w:val="center"/>
        </w:pPr>
        <w:r>
          <w:fldChar w:fldCharType="begin"/>
        </w:r>
        <w:r>
          <w:instrText xml:space="preserve"> PAGE   \* MERGEFORMAT </w:instrText>
        </w:r>
        <w:r>
          <w:fldChar w:fldCharType="separate"/>
        </w:r>
        <w:r w:rsidR="00527415">
          <w:rPr>
            <w:noProof/>
          </w:rPr>
          <w:t>16</w:t>
        </w:r>
        <w:r>
          <w:rPr>
            <w:noProof/>
          </w:rPr>
          <w:fldChar w:fldCharType="end"/>
        </w:r>
      </w:p>
    </w:sdtContent>
  </w:sdt>
  <w:p w:rsidR="00B9025B" w:rsidRDefault="00B9025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B77" w:rsidRDefault="009B2B77">
      <w:r>
        <w:separator/>
      </w:r>
    </w:p>
  </w:footnote>
  <w:footnote w:type="continuationSeparator" w:id="0">
    <w:p w:rsidR="009B2B77" w:rsidRDefault="009B2B77">
      <w:r>
        <w:continuationSeparator/>
      </w:r>
    </w:p>
  </w:footnote>
  <w:footnote w:id="1">
    <w:p w:rsidR="00B9025B" w:rsidRPr="00F43944" w:rsidRDefault="00B9025B" w:rsidP="005A3320">
      <w:pPr>
        <w:pStyle w:val="FootnoteText"/>
        <w:jc w:val="left"/>
        <w:rPr>
          <w:sz w:val="22"/>
          <w:szCs w:val="22"/>
        </w:rPr>
      </w:pPr>
      <w:r w:rsidRPr="00F43944">
        <w:rPr>
          <w:rStyle w:val="FootnoteReference"/>
          <w:sz w:val="22"/>
          <w:szCs w:val="22"/>
        </w:rPr>
        <w:footnoteRef/>
      </w:r>
      <w:r>
        <w:rPr>
          <w:sz w:val="22"/>
          <w:szCs w:val="22"/>
        </w:rPr>
        <w:t xml:space="preserve"> </w:t>
      </w:r>
      <w:r w:rsidRPr="00F43944">
        <w:rPr>
          <w:sz w:val="22"/>
          <w:szCs w:val="22"/>
        </w:rPr>
        <w:t xml:space="preserve">ING was the </w:t>
      </w:r>
      <w:r>
        <w:rPr>
          <w:sz w:val="22"/>
          <w:szCs w:val="22"/>
        </w:rPr>
        <w:t xml:space="preserve">only </w:t>
      </w:r>
      <w:r w:rsidRPr="00F43944">
        <w:rPr>
          <w:sz w:val="22"/>
          <w:szCs w:val="22"/>
        </w:rPr>
        <w:t xml:space="preserve">foreclosing beneficiary. The Trustee's Deed identified ING as the foreclosing beneficiary, and that recital is a binding statement of fact. </w:t>
      </w:r>
      <w:r w:rsidRPr="00F43944">
        <w:rPr>
          <w:i/>
          <w:iCs/>
          <w:sz w:val="22"/>
          <w:szCs w:val="22"/>
        </w:rPr>
        <w:t>Bank of America v. La Jolla Group II</w:t>
      </w:r>
      <w:r w:rsidRPr="00F43944">
        <w:rPr>
          <w:sz w:val="22"/>
          <w:szCs w:val="22"/>
        </w:rPr>
        <w:t xml:space="preserve">, 129 Cal.App.4th 706, </w:t>
      </w:r>
      <w:r>
        <w:rPr>
          <w:sz w:val="22"/>
          <w:szCs w:val="22"/>
        </w:rPr>
        <w:t xml:space="preserve">716 </w:t>
      </w:r>
      <w:r w:rsidRPr="00F43944">
        <w:rPr>
          <w:sz w:val="22"/>
          <w:szCs w:val="22"/>
        </w:rPr>
        <w:t>(Cal. App. 5th Dist. 2005).</w:t>
      </w:r>
    </w:p>
  </w:footnote>
  <w:footnote w:id="2">
    <w:p w:rsidR="00B9025B" w:rsidRPr="00F43944" w:rsidRDefault="00B9025B" w:rsidP="00D5037B">
      <w:pPr>
        <w:pStyle w:val="FootnoteText"/>
        <w:jc w:val="left"/>
        <w:rPr>
          <w:sz w:val="22"/>
          <w:szCs w:val="22"/>
        </w:rPr>
      </w:pPr>
      <w:r w:rsidRPr="00F43944">
        <w:rPr>
          <w:rStyle w:val="FootnoteReference"/>
          <w:sz w:val="22"/>
          <w:szCs w:val="22"/>
        </w:rPr>
        <w:footnoteRef/>
      </w:r>
      <w:r w:rsidRPr="00F43944">
        <w:rPr>
          <w:sz w:val="22"/>
          <w:szCs w:val="22"/>
        </w:rPr>
        <w:t xml:space="preserve"> Cirilo Cruz is now deceased and his wife</w:t>
      </w:r>
      <w:r>
        <w:rPr>
          <w:sz w:val="22"/>
          <w:szCs w:val="22"/>
        </w:rPr>
        <w:t>,</w:t>
      </w:r>
      <w:r w:rsidRPr="00F43944">
        <w:rPr>
          <w:sz w:val="22"/>
          <w:szCs w:val="22"/>
        </w:rPr>
        <w:t xml:space="preserve"> Juana Cruz</w:t>
      </w:r>
      <w:r>
        <w:rPr>
          <w:sz w:val="22"/>
          <w:szCs w:val="22"/>
        </w:rPr>
        <w:t>,</w:t>
      </w:r>
      <w:r w:rsidRPr="00F43944">
        <w:rPr>
          <w:sz w:val="22"/>
          <w:szCs w:val="22"/>
        </w:rPr>
        <w:t xml:space="preserve"> has been substituted in his place as plaintiff.</w:t>
      </w:r>
    </w:p>
  </w:footnote>
  <w:footnote w:id="3">
    <w:p w:rsidR="00B9025B" w:rsidRDefault="00B9025B" w:rsidP="00D5037B">
      <w:pPr>
        <w:tabs>
          <w:tab w:val="left" w:pos="0"/>
          <w:tab w:val="left" w:pos="720"/>
          <w:tab w:val="left" w:pos="1440"/>
          <w:tab w:val="left" w:pos="2160"/>
          <w:tab w:val="left" w:pos="2880"/>
          <w:tab w:val="left" w:pos="3600"/>
          <w:tab w:val="left" w:pos="4320"/>
          <w:tab w:val="left" w:pos="5040"/>
          <w:tab w:val="left" w:pos="5760"/>
          <w:tab w:val="left" w:pos="6480"/>
          <w:tab w:val="left" w:pos="7200"/>
        </w:tabs>
        <w:rPr>
          <w:sz w:val="22"/>
          <w:szCs w:val="22"/>
        </w:rPr>
      </w:pPr>
      <w:r w:rsidRPr="00F43944">
        <w:rPr>
          <w:rStyle w:val="FootnoteReference"/>
          <w:sz w:val="22"/>
          <w:szCs w:val="22"/>
        </w:rPr>
        <w:footnoteRef/>
      </w:r>
      <w:r w:rsidRPr="00F43944">
        <w:rPr>
          <w:sz w:val="22"/>
          <w:szCs w:val="22"/>
        </w:rPr>
        <w:t xml:space="preserve"> All further references to § 2932.5 are to the California Civil Code. </w:t>
      </w:r>
    </w:p>
    <w:p w:rsidR="00B9025B" w:rsidRPr="00F43944" w:rsidRDefault="00B9025B" w:rsidP="00D5037B">
      <w:pPr>
        <w:tabs>
          <w:tab w:val="left" w:pos="0"/>
          <w:tab w:val="left" w:pos="720"/>
          <w:tab w:val="left" w:pos="1440"/>
          <w:tab w:val="left" w:pos="2160"/>
          <w:tab w:val="left" w:pos="2880"/>
          <w:tab w:val="left" w:pos="3600"/>
          <w:tab w:val="left" w:pos="4320"/>
          <w:tab w:val="left" w:pos="5040"/>
          <w:tab w:val="left" w:pos="5760"/>
          <w:tab w:val="left" w:pos="6480"/>
          <w:tab w:val="left" w:pos="7200"/>
        </w:tabs>
        <w:rPr>
          <w:sz w:val="22"/>
          <w:szCs w:val="22"/>
        </w:rPr>
      </w:pPr>
    </w:p>
  </w:footnote>
  <w:footnote w:id="4">
    <w:p w:rsidR="00B9025B" w:rsidRPr="00F43944" w:rsidRDefault="00B9025B" w:rsidP="00D5037B">
      <w:pPr>
        <w:pStyle w:val="FootnoteText"/>
        <w:jc w:val="left"/>
        <w:rPr>
          <w:sz w:val="22"/>
          <w:szCs w:val="22"/>
        </w:rPr>
      </w:pPr>
      <w:r w:rsidRPr="00F43944">
        <w:rPr>
          <w:rStyle w:val="FootnoteReference"/>
          <w:sz w:val="22"/>
          <w:szCs w:val="22"/>
        </w:rPr>
        <w:footnoteRef/>
      </w:r>
      <w:r w:rsidRPr="00F43944">
        <w:rPr>
          <w:sz w:val="22"/>
          <w:szCs w:val="22"/>
        </w:rPr>
        <w:t xml:space="preserve"> </w:t>
      </w:r>
      <w:r w:rsidRPr="00F43944">
        <w:rPr>
          <w:i/>
          <w:sz w:val="22"/>
          <w:szCs w:val="22"/>
        </w:rPr>
        <w:t>See, e.g., Strike v. Trans-West Discount Corp.,</w:t>
      </w:r>
      <w:r w:rsidRPr="00F43944">
        <w:rPr>
          <w:sz w:val="22"/>
          <w:szCs w:val="22"/>
        </w:rPr>
        <w:t xml:space="preserve"> 92 Cal.App.3d 735, 742 (Cal. App. 4th Dist. 1979) (</w:t>
      </w:r>
      <w:r>
        <w:rPr>
          <w:sz w:val="22"/>
          <w:szCs w:val="22"/>
        </w:rPr>
        <w:t>citing</w:t>
      </w:r>
      <w:r w:rsidRPr="00F43944">
        <w:rPr>
          <w:sz w:val="22"/>
          <w:szCs w:val="22"/>
        </w:rPr>
        <w:t xml:space="preserve"> the predecessor to § 2932.5; </w:t>
      </w:r>
      <w:r w:rsidRPr="00A0562B">
        <w:rPr>
          <w:sz w:val="22"/>
          <w:szCs w:val="22"/>
        </w:rPr>
        <w:t>i.e.,</w:t>
      </w:r>
      <w:r w:rsidRPr="00F43944">
        <w:rPr>
          <w:sz w:val="22"/>
          <w:szCs w:val="22"/>
        </w:rPr>
        <w:t xml:space="preserve"> Cal. Civ. Code § 858, to validate the exercise of the power of sale by a trust deed beneficiary of record)</w:t>
      </w:r>
      <w:r w:rsidRPr="00F43944">
        <w:rPr>
          <w:i/>
          <w:sz w:val="22"/>
          <w:szCs w:val="22"/>
        </w:rPr>
        <w:t>; Tamburri v. Suntrust Mortg., Inc</w:t>
      </w:r>
      <w:r w:rsidRPr="00F43944">
        <w:rPr>
          <w:sz w:val="22"/>
          <w:szCs w:val="22"/>
        </w:rPr>
        <w:t>., 2011 U.S. Dist. LEXIS 72202, at *11-13 (N.D. Cal. July 6, 2011) (granting a preliminary injunction based in part on the ambiguity in the law regarding the application of § 2923.5 to deeds of trust)</w:t>
      </w:r>
      <w:r w:rsidRPr="00F43944">
        <w:rPr>
          <w:rStyle w:val="Hyperlink"/>
          <w:color w:val="auto"/>
          <w:sz w:val="22"/>
          <w:szCs w:val="22"/>
          <w:u w:val="none"/>
        </w:rPr>
        <w:t xml:space="preserve">; </w:t>
      </w:r>
      <w:r w:rsidRPr="00F43944">
        <w:rPr>
          <w:rStyle w:val="Hyperlink"/>
          <w:i/>
          <w:color w:val="auto"/>
          <w:sz w:val="22"/>
          <w:szCs w:val="22"/>
          <w:u w:val="none"/>
        </w:rPr>
        <w:t>Tamburri v. Suntrust Mortg., Inc</w:t>
      </w:r>
      <w:r w:rsidRPr="00F43944">
        <w:rPr>
          <w:rStyle w:val="Hyperlink"/>
          <w:color w:val="auto"/>
          <w:sz w:val="22"/>
          <w:szCs w:val="22"/>
          <w:u w:val="none"/>
        </w:rPr>
        <w:t xml:space="preserve">., 875 F. Supp. 2d 1009, 1024 (N.D. Cal. 2012) (denying defendants' motion to dismiss on the same grounds); 1 Roger Bernhardt, California Mortgage and Deed of Trusts, and Foreclosure Litigation § 1.25B (4th ed. 2009) (hereinafter "Bernhardt") </w:t>
      </w:r>
      <w:r w:rsidRPr="00F43944">
        <w:rPr>
          <w:sz w:val="22"/>
          <w:szCs w:val="22"/>
        </w:rPr>
        <w:t>(</w:t>
      </w:r>
      <w:r w:rsidRPr="00F43944">
        <w:rPr>
          <w:rStyle w:val="Hyperlink"/>
          <w:color w:val="auto"/>
          <w:sz w:val="22"/>
          <w:szCs w:val="22"/>
          <w:u w:val="none"/>
        </w:rPr>
        <w:t xml:space="preserve">describing the </w:t>
      </w:r>
      <w:r>
        <w:rPr>
          <w:rStyle w:val="Hyperlink"/>
          <w:color w:val="auto"/>
          <w:sz w:val="22"/>
          <w:szCs w:val="22"/>
          <w:u w:val="none"/>
        </w:rPr>
        <w:t xml:space="preserve">recent state decisions contrary to </w:t>
      </w:r>
      <w:r>
        <w:rPr>
          <w:rStyle w:val="Hyperlink"/>
          <w:i/>
          <w:color w:val="auto"/>
          <w:sz w:val="22"/>
          <w:szCs w:val="22"/>
          <w:u w:val="none"/>
        </w:rPr>
        <w:t xml:space="preserve">Cruz I </w:t>
      </w:r>
      <w:r w:rsidRPr="00F43944">
        <w:rPr>
          <w:rStyle w:val="Hyperlink"/>
          <w:color w:val="auto"/>
          <w:sz w:val="22"/>
          <w:szCs w:val="22"/>
          <w:u w:val="none"/>
        </w:rPr>
        <w:t xml:space="preserve">as "problematic"). </w:t>
      </w:r>
      <w:r w:rsidRPr="00F43944">
        <w:rPr>
          <w:sz w:val="22"/>
          <w:szCs w:val="22"/>
        </w:rPr>
        <w:t xml:space="preserve">Bernhardt § 1.35 </w:t>
      </w:r>
      <w:r>
        <w:rPr>
          <w:sz w:val="22"/>
          <w:szCs w:val="22"/>
        </w:rPr>
        <w:t>also noted these d</w:t>
      </w:r>
      <w:r w:rsidRPr="00F43944">
        <w:rPr>
          <w:sz w:val="22"/>
          <w:szCs w:val="22"/>
        </w:rPr>
        <w:t xml:space="preserve">ecisions reversed the 50-year trend to treat mortgages and deeds of trust as legally identical.  </w:t>
      </w:r>
    </w:p>
  </w:footnote>
  <w:footnote w:id="5">
    <w:p w:rsidR="00B9025B" w:rsidRPr="00BF43A2" w:rsidRDefault="00B9025B" w:rsidP="001D06A2">
      <w:pPr>
        <w:pStyle w:val="FootnoteText"/>
        <w:jc w:val="left"/>
        <w:rPr>
          <w:i/>
          <w:sz w:val="22"/>
          <w:szCs w:val="22"/>
        </w:rPr>
      </w:pPr>
      <w:r w:rsidRPr="00F43944">
        <w:rPr>
          <w:rStyle w:val="FootnoteReference"/>
          <w:sz w:val="22"/>
          <w:szCs w:val="22"/>
        </w:rPr>
        <w:footnoteRef/>
      </w:r>
      <w:r w:rsidRPr="00F43944">
        <w:rPr>
          <w:sz w:val="22"/>
          <w:szCs w:val="22"/>
        </w:rPr>
        <w:t xml:space="preserve"> </w:t>
      </w:r>
      <w:r w:rsidRPr="00F43944">
        <w:rPr>
          <w:i/>
          <w:sz w:val="22"/>
          <w:szCs w:val="22"/>
        </w:rPr>
        <w:t xml:space="preserve">See </w:t>
      </w:r>
      <w:r w:rsidRPr="00F43944">
        <w:rPr>
          <w:bCs/>
          <w:i/>
          <w:sz w:val="22"/>
          <w:szCs w:val="22"/>
        </w:rPr>
        <w:t>Haynes</w:t>
      </w:r>
      <w:r>
        <w:rPr>
          <w:bCs/>
          <w:i/>
          <w:sz w:val="22"/>
          <w:szCs w:val="22"/>
        </w:rPr>
        <w:t xml:space="preserve"> </w:t>
      </w:r>
      <w:r w:rsidRPr="000A3C75">
        <w:rPr>
          <w:bCs/>
          <w:i/>
          <w:szCs w:val="24"/>
        </w:rPr>
        <w:t>v. EMC Mortg</w:t>
      </w:r>
      <w:r>
        <w:rPr>
          <w:bCs/>
          <w:i/>
          <w:szCs w:val="24"/>
        </w:rPr>
        <w:t>.</w:t>
      </w:r>
      <w:r w:rsidRPr="000A3C75">
        <w:rPr>
          <w:bCs/>
          <w:i/>
          <w:szCs w:val="24"/>
        </w:rPr>
        <w:t xml:space="preserve"> Corp</w:t>
      </w:r>
      <w:r w:rsidRPr="000A3C75">
        <w:rPr>
          <w:bCs/>
          <w:szCs w:val="24"/>
        </w:rPr>
        <w:t>., 205 Cal.App.4th 329, 336 (Cal. App. 1st Dist. 2012),</w:t>
      </w:r>
      <w:r w:rsidRPr="000A3C75">
        <w:rPr>
          <w:i/>
          <w:szCs w:val="24"/>
        </w:rPr>
        <w:t xml:space="preserve"> cert. denied</w:t>
      </w:r>
      <w:r w:rsidRPr="000A3C75">
        <w:rPr>
          <w:szCs w:val="24"/>
        </w:rPr>
        <w:t>, 2012 Cal. LEXIS 7371 (Cal. Aug. 8, 2012)</w:t>
      </w:r>
      <w:r w:rsidRPr="00F43944">
        <w:rPr>
          <w:sz w:val="22"/>
          <w:szCs w:val="22"/>
        </w:rPr>
        <w:t xml:space="preserve">; </w:t>
      </w:r>
      <w:r w:rsidRPr="00F43944">
        <w:rPr>
          <w:bCs/>
          <w:i/>
          <w:sz w:val="22"/>
          <w:szCs w:val="22"/>
        </w:rPr>
        <w:t>Herrera v. Federal Nat. Mort. Assn</w:t>
      </w:r>
      <w:r w:rsidRPr="00F43944">
        <w:rPr>
          <w:i/>
          <w:sz w:val="22"/>
          <w:szCs w:val="22"/>
        </w:rPr>
        <w:t>.,</w:t>
      </w:r>
      <w:r w:rsidRPr="00F43944">
        <w:rPr>
          <w:sz w:val="22"/>
          <w:szCs w:val="22"/>
        </w:rPr>
        <w:t xml:space="preserve"> 205 Cal.App.4th 1495 (Cal. App. 4th Dist. 2012),</w:t>
      </w:r>
      <w:r w:rsidRPr="00F43944">
        <w:rPr>
          <w:i/>
          <w:sz w:val="22"/>
          <w:szCs w:val="22"/>
        </w:rPr>
        <w:t xml:space="preserve"> cert. denied</w:t>
      </w:r>
      <w:r w:rsidRPr="00F43944">
        <w:rPr>
          <w:sz w:val="22"/>
          <w:szCs w:val="22"/>
        </w:rPr>
        <w:t>, 2012 Cal. LEXIS 7643 (Cal. Aug. 8, 2012)</w:t>
      </w:r>
      <w:r>
        <w:rPr>
          <w:sz w:val="22"/>
          <w:szCs w:val="22"/>
        </w:rPr>
        <w:t xml:space="preserve">; </w:t>
      </w:r>
      <w:r w:rsidRPr="00F43944">
        <w:rPr>
          <w:bCs/>
          <w:i/>
          <w:sz w:val="22"/>
          <w:szCs w:val="22"/>
        </w:rPr>
        <w:t>Calvo v. HSBC Bank USA, N.A</w:t>
      </w:r>
      <w:r w:rsidRPr="00F43944">
        <w:rPr>
          <w:i/>
          <w:sz w:val="22"/>
          <w:szCs w:val="22"/>
        </w:rPr>
        <w:t>.,</w:t>
      </w:r>
      <w:r w:rsidRPr="00F43944">
        <w:rPr>
          <w:sz w:val="22"/>
          <w:szCs w:val="22"/>
        </w:rPr>
        <w:t xml:space="preserve"> 199 Cal.App.4th 118 (Cal. App. 2nd Dist. 2011) ),</w:t>
      </w:r>
      <w:r w:rsidRPr="00F43944">
        <w:rPr>
          <w:i/>
          <w:sz w:val="22"/>
          <w:szCs w:val="22"/>
        </w:rPr>
        <w:t xml:space="preserve"> cert. denied</w:t>
      </w:r>
      <w:r w:rsidRPr="00F43944">
        <w:rPr>
          <w:sz w:val="22"/>
          <w:szCs w:val="22"/>
        </w:rPr>
        <w:t>, 2012 Ca</w:t>
      </w:r>
      <w:r>
        <w:rPr>
          <w:sz w:val="22"/>
          <w:szCs w:val="22"/>
        </w:rPr>
        <w:t>l. LEXIS 42 (Cal. Jan. 4, 2012).</w:t>
      </w:r>
      <w:r w:rsidRPr="00F43944">
        <w:rPr>
          <w:sz w:val="22"/>
          <w:szCs w:val="22"/>
        </w:rPr>
        <w:t xml:space="preserve"> Although permitted, the California Supreme Court also did not order that any of these opinions </w:t>
      </w:r>
      <w:r>
        <w:rPr>
          <w:sz w:val="22"/>
          <w:szCs w:val="22"/>
        </w:rPr>
        <w:t>depublished</w:t>
      </w:r>
      <w:r w:rsidRPr="00F43944">
        <w:rPr>
          <w:sz w:val="22"/>
          <w:szCs w:val="22"/>
        </w:rPr>
        <w:t xml:space="preserve">. </w:t>
      </w:r>
      <w:r w:rsidRPr="00F43944">
        <w:rPr>
          <w:i/>
          <w:sz w:val="22"/>
          <w:szCs w:val="22"/>
        </w:rPr>
        <w:t>See</w:t>
      </w:r>
      <w:r w:rsidRPr="00F43944">
        <w:rPr>
          <w:sz w:val="22"/>
          <w:szCs w:val="22"/>
        </w:rPr>
        <w:t xml:space="preserve"> California Constitution Article VI, § 14; California Rules of Court 8.1105(e)(2). The Ninth Circuit and the Bankruptcy Appellate Panel of this circuit have not published on this issue, although they </w:t>
      </w:r>
      <w:r>
        <w:rPr>
          <w:sz w:val="22"/>
          <w:szCs w:val="22"/>
        </w:rPr>
        <w:t xml:space="preserve">also </w:t>
      </w:r>
      <w:r w:rsidRPr="00F43944">
        <w:rPr>
          <w:sz w:val="22"/>
          <w:szCs w:val="22"/>
        </w:rPr>
        <w:t xml:space="preserve">come to a different conclusion than this Court. </w:t>
      </w:r>
      <w:r w:rsidRPr="00F43944">
        <w:rPr>
          <w:i/>
          <w:sz w:val="22"/>
          <w:szCs w:val="22"/>
        </w:rPr>
        <w:t>Caballero v. Bank of Am</w:t>
      </w:r>
      <w:r w:rsidRPr="00F43944">
        <w:rPr>
          <w:sz w:val="22"/>
          <w:szCs w:val="22"/>
        </w:rPr>
        <w:t>., 468 Fed. Appx. 709, 710 (9th Cir. 2012)</w:t>
      </w:r>
      <w:r>
        <w:rPr>
          <w:sz w:val="22"/>
          <w:szCs w:val="22"/>
        </w:rPr>
        <w:t>;</w:t>
      </w:r>
      <w:r w:rsidRPr="00F43944">
        <w:rPr>
          <w:sz w:val="22"/>
          <w:szCs w:val="22"/>
        </w:rPr>
        <w:t xml:space="preserve"> </w:t>
      </w:r>
      <w:r w:rsidRPr="00F43944">
        <w:rPr>
          <w:i/>
          <w:sz w:val="22"/>
          <w:szCs w:val="22"/>
        </w:rPr>
        <w:t>Marks v. Dockery (In re Marks)</w:t>
      </w:r>
      <w:r w:rsidRPr="00F43944">
        <w:rPr>
          <w:sz w:val="22"/>
          <w:szCs w:val="22"/>
        </w:rPr>
        <w:t xml:space="preserve">, 2012 Bankr. LEXIS 5788, at *27 n.9 (B.A.P. 9th Cir. 2012). </w:t>
      </w:r>
      <w:r w:rsidRPr="00F43944">
        <w:rPr>
          <w:color w:val="000000"/>
          <w:sz w:val="22"/>
          <w:szCs w:val="22"/>
        </w:rPr>
        <w:t xml:space="preserve">All of the contrary authority either directly or indirectly rely upon </w:t>
      </w:r>
      <w:r w:rsidRPr="00F43944">
        <w:rPr>
          <w:i/>
          <w:sz w:val="22"/>
          <w:szCs w:val="22"/>
        </w:rPr>
        <w:t>Stockwell v. Barnum,</w:t>
      </w:r>
      <w:r w:rsidRPr="00F43944">
        <w:rPr>
          <w:sz w:val="22"/>
          <w:szCs w:val="22"/>
        </w:rPr>
        <w:t xml:space="preserve"> 7 Cal. App. 413, 416-17 (Cal. App. 2nd Dist. 1908)</w:t>
      </w:r>
      <w:r>
        <w:rPr>
          <w:sz w:val="22"/>
          <w:szCs w:val="22"/>
        </w:rPr>
        <w:t>,</w:t>
      </w:r>
      <w:r w:rsidRPr="00F43944">
        <w:rPr>
          <w:sz w:val="22"/>
          <w:szCs w:val="22"/>
        </w:rPr>
        <w:t xml:space="preserve"> </w:t>
      </w:r>
      <w:r w:rsidRPr="00F43944">
        <w:rPr>
          <w:color w:val="000000"/>
          <w:sz w:val="22"/>
          <w:szCs w:val="22"/>
        </w:rPr>
        <w:t xml:space="preserve">without evaluating whether its analysis was sound at the outset or changed over time as the law developed. </w:t>
      </w:r>
      <w:r>
        <w:rPr>
          <w:i/>
          <w:color w:val="000000"/>
          <w:sz w:val="22"/>
          <w:szCs w:val="22"/>
        </w:rPr>
        <w:t xml:space="preserve">Cruz I, </w:t>
      </w:r>
      <w:r w:rsidRPr="00BF43A2">
        <w:rPr>
          <w:color w:val="000000"/>
          <w:sz w:val="22"/>
          <w:szCs w:val="22"/>
        </w:rPr>
        <w:t>457 B.R. at</w:t>
      </w:r>
      <w:r>
        <w:rPr>
          <w:i/>
          <w:color w:val="000000"/>
          <w:sz w:val="22"/>
          <w:szCs w:val="22"/>
        </w:rPr>
        <w:t xml:space="preserve"> </w:t>
      </w:r>
      <w:r>
        <w:rPr>
          <w:color w:val="000000"/>
          <w:sz w:val="22"/>
          <w:szCs w:val="22"/>
        </w:rPr>
        <w:t xml:space="preserve">816, analyzed </w:t>
      </w:r>
      <w:r w:rsidRPr="00E77038">
        <w:rPr>
          <w:i/>
          <w:color w:val="000000"/>
          <w:sz w:val="22"/>
          <w:szCs w:val="22"/>
        </w:rPr>
        <w:t>Stockwell</w:t>
      </w:r>
      <w:r>
        <w:rPr>
          <w:color w:val="000000"/>
          <w:sz w:val="22"/>
          <w:szCs w:val="22"/>
        </w:rPr>
        <w:t xml:space="preserve"> and concluded it was no longer viable.  </w:t>
      </w:r>
      <w:r>
        <w:rPr>
          <w:i/>
          <w:color w:val="000000"/>
          <w:sz w:val="22"/>
          <w:szCs w:val="22"/>
        </w:rPr>
        <w:t xml:space="preserve"> </w:t>
      </w:r>
    </w:p>
  </w:footnote>
  <w:footnote w:id="6">
    <w:p w:rsidR="00B9025B" w:rsidRPr="00F43944" w:rsidRDefault="00B9025B" w:rsidP="00127ADF">
      <w:pPr>
        <w:pStyle w:val="FootnoteText"/>
        <w:jc w:val="left"/>
        <w:rPr>
          <w:sz w:val="22"/>
          <w:szCs w:val="22"/>
        </w:rPr>
      </w:pPr>
      <w:r w:rsidRPr="00F43944">
        <w:rPr>
          <w:rStyle w:val="FootnoteReference"/>
          <w:sz w:val="22"/>
          <w:szCs w:val="22"/>
        </w:rPr>
        <w:footnoteRef/>
      </w:r>
      <w:r w:rsidRPr="00F43944">
        <w:rPr>
          <w:sz w:val="22"/>
          <w:szCs w:val="22"/>
        </w:rPr>
        <w:t xml:space="preserve"> </w:t>
      </w:r>
      <w:r w:rsidRPr="00F43944">
        <w:rPr>
          <w:i/>
          <w:sz w:val="22"/>
          <w:szCs w:val="22"/>
        </w:rPr>
        <w:t xml:space="preserve">Haynes, </w:t>
      </w:r>
      <w:r w:rsidRPr="00F43944">
        <w:rPr>
          <w:sz w:val="22"/>
          <w:szCs w:val="22"/>
        </w:rPr>
        <w:t>205 Cal.App.4th at 336</w:t>
      </w:r>
      <w:r w:rsidRPr="00F43944">
        <w:rPr>
          <w:i/>
          <w:sz w:val="22"/>
          <w:szCs w:val="22"/>
        </w:rPr>
        <w:t xml:space="preserve">, </w:t>
      </w:r>
      <w:r w:rsidRPr="00F43944">
        <w:rPr>
          <w:sz w:val="22"/>
          <w:szCs w:val="22"/>
        </w:rPr>
        <w:t xml:space="preserve">is the only state court case to mention the applicable California Supreme Court authority of </w:t>
      </w:r>
      <w:r w:rsidRPr="00F43944">
        <w:rPr>
          <w:i/>
          <w:sz w:val="22"/>
          <w:szCs w:val="22"/>
        </w:rPr>
        <w:t>Monterey S. P. P'ship v. W. L. Bangham,</w:t>
      </w:r>
      <w:r w:rsidRPr="00F43944">
        <w:rPr>
          <w:sz w:val="22"/>
          <w:szCs w:val="22"/>
        </w:rPr>
        <w:t xml:space="preserve"> 49 Cal. 3d 454, 461 (1989) (beneficiary was the real party in interest under a deed of trust so service of process of a mechanics lien suit on the trustee under a deed of trust was inadequate). </w:t>
      </w:r>
      <w:r w:rsidRPr="00F43944">
        <w:rPr>
          <w:i/>
          <w:sz w:val="22"/>
          <w:szCs w:val="22"/>
        </w:rPr>
        <w:t xml:space="preserve">Haynes </w:t>
      </w:r>
      <w:r>
        <w:rPr>
          <w:sz w:val="22"/>
          <w:szCs w:val="22"/>
        </w:rPr>
        <w:t>interpreted</w:t>
      </w:r>
      <w:r w:rsidRPr="00F43944">
        <w:rPr>
          <w:sz w:val="22"/>
          <w:szCs w:val="22"/>
        </w:rPr>
        <w:t xml:space="preserve"> </w:t>
      </w:r>
      <w:r w:rsidRPr="00F43944">
        <w:rPr>
          <w:i/>
          <w:sz w:val="22"/>
          <w:szCs w:val="22"/>
        </w:rPr>
        <w:t xml:space="preserve">Monterey </w:t>
      </w:r>
      <w:r w:rsidRPr="00F43944">
        <w:rPr>
          <w:sz w:val="22"/>
          <w:szCs w:val="22"/>
        </w:rPr>
        <w:t xml:space="preserve">to </w:t>
      </w:r>
      <w:r>
        <w:rPr>
          <w:sz w:val="22"/>
          <w:szCs w:val="22"/>
        </w:rPr>
        <w:t xml:space="preserve">be limited to </w:t>
      </w:r>
      <w:r w:rsidRPr="00F43944">
        <w:rPr>
          <w:sz w:val="22"/>
          <w:szCs w:val="22"/>
        </w:rPr>
        <w:t>its facts.</w:t>
      </w:r>
      <w:r>
        <w:rPr>
          <w:sz w:val="22"/>
          <w:szCs w:val="22"/>
        </w:rPr>
        <w:t xml:space="preserve"> </w:t>
      </w:r>
      <w:r w:rsidRPr="00711DBA">
        <w:rPr>
          <w:i/>
          <w:sz w:val="22"/>
          <w:szCs w:val="22"/>
        </w:rPr>
        <w:t>Haynes</w:t>
      </w:r>
      <w:r>
        <w:rPr>
          <w:sz w:val="22"/>
          <w:szCs w:val="22"/>
        </w:rPr>
        <w:t>,</w:t>
      </w:r>
      <w:r w:rsidRPr="00F43944">
        <w:rPr>
          <w:sz w:val="22"/>
          <w:szCs w:val="22"/>
        </w:rPr>
        <w:t xml:space="preserve"> 205 Cal.App.4th at 336</w:t>
      </w:r>
      <w:r>
        <w:rPr>
          <w:sz w:val="22"/>
          <w:szCs w:val="22"/>
        </w:rPr>
        <w:t>-337.</w:t>
      </w:r>
    </w:p>
  </w:footnote>
  <w:footnote w:id="7">
    <w:p w:rsidR="00B9025B" w:rsidRPr="00D76DA1" w:rsidRDefault="00B9025B" w:rsidP="00711DBA">
      <w:pPr>
        <w:pStyle w:val="FootnoteText"/>
        <w:rPr>
          <w:sz w:val="22"/>
          <w:szCs w:val="22"/>
        </w:rPr>
      </w:pPr>
      <w:r w:rsidRPr="00D76DA1">
        <w:rPr>
          <w:rStyle w:val="FootnoteReference"/>
          <w:sz w:val="22"/>
          <w:szCs w:val="22"/>
        </w:rPr>
        <w:footnoteRef/>
      </w:r>
      <w:r w:rsidRPr="00D76DA1">
        <w:rPr>
          <w:sz w:val="22"/>
          <w:szCs w:val="22"/>
        </w:rPr>
        <w:t xml:space="preserve"> </w:t>
      </w:r>
      <w:r>
        <w:rPr>
          <w:i/>
          <w:sz w:val="22"/>
          <w:szCs w:val="22"/>
        </w:rPr>
        <w:t xml:space="preserve">See </w:t>
      </w:r>
      <w:r w:rsidRPr="00D76DA1">
        <w:rPr>
          <w:sz w:val="22"/>
          <w:szCs w:val="22"/>
        </w:rPr>
        <w:t xml:space="preserve">footnote 6. </w:t>
      </w:r>
    </w:p>
  </w:footnote>
  <w:footnote w:id="8">
    <w:p w:rsidR="00B9025B" w:rsidRDefault="00B9025B" w:rsidP="00D5037B">
      <w:pPr>
        <w:widowControl/>
        <w:spacing w:line="240" w:lineRule="auto"/>
        <w:rPr>
          <w:i/>
          <w:color w:val="000000"/>
          <w:sz w:val="22"/>
          <w:szCs w:val="22"/>
        </w:rPr>
      </w:pPr>
      <w:r w:rsidRPr="00F43944">
        <w:rPr>
          <w:rStyle w:val="FootnoteReference"/>
          <w:sz w:val="22"/>
          <w:szCs w:val="22"/>
        </w:rPr>
        <w:footnoteRef/>
      </w:r>
      <w:r w:rsidRPr="00F43944">
        <w:rPr>
          <w:sz w:val="22"/>
          <w:szCs w:val="22"/>
        </w:rPr>
        <w:t xml:space="preserve"> </w:t>
      </w:r>
      <w:r>
        <w:rPr>
          <w:sz w:val="22"/>
          <w:szCs w:val="22"/>
        </w:rPr>
        <w:t>This Court will not rehash its previous decisions. In summary, i</w:t>
      </w:r>
      <w:r w:rsidRPr="00F43944">
        <w:rPr>
          <w:sz w:val="22"/>
          <w:szCs w:val="22"/>
        </w:rPr>
        <w:t xml:space="preserve">ts first review of § 2932.5 was in </w:t>
      </w:r>
      <w:r w:rsidRPr="00F43944">
        <w:rPr>
          <w:i/>
          <w:iCs/>
          <w:color w:val="000000"/>
          <w:sz w:val="22"/>
          <w:szCs w:val="22"/>
        </w:rPr>
        <w:t>U.S. Bank N.A. v. Skelton (In re Salazar)</w:t>
      </w:r>
      <w:r w:rsidRPr="00F43944">
        <w:rPr>
          <w:color w:val="000000"/>
          <w:sz w:val="22"/>
          <w:szCs w:val="22"/>
        </w:rPr>
        <w:t>, 448 B.R. 814, 824 (Bankr. S.D. Cal. 2011),</w:t>
      </w:r>
      <w:r w:rsidRPr="00F43944">
        <w:rPr>
          <w:sz w:val="22"/>
          <w:szCs w:val="22"/>
        </w:rPr>
        <w:t xml:space="preserve"> where this </w:t>
      </w:r>
      <w:r w:rsidRPr="00F43944">
        <w:rPr>
          <w:color w:val="000000"/>
          <w:sz w:val="22"/>
          <w:szCs w:val="22"/>
        </w:rPr>
        <w:t xml:space="preserve">Court concluded </w:t>
      </w:r>
      <w:r w:rsidRPr="00F43944">
        <w:rPr>
          <w:i/>
          <w:sz w:val="22"/>
          <w:szCs w:val="22"/>
        </w:rPr>
        <w:t>Bank of Italy Nat. Trust &amp; Sav. Assn. v. Bentley</w:t>
      </w:r>
      <w:r w:rsidRPr="00F43944">
        <w:rPr>
          <w:sz w:val="22"/>
          <w:szCs w:val="22"/>
        </w:rPr>
        <w:t xml:space="preserve">, 217 Cal. 644, 658 (Cal. 1933) (holding that </w:t>
      </w:r>
      <w:r w:rsidRPr="00F43944">
        <w:rPr>
          <w:color w:val="000000"/>
          <w:sz w:val="22"/>
          <w:szCs w:val="22"/>
        </w:rPr>
        <w:t xml:space="preserve">deeds of trust were functionally the same as mortgages), effectively overruled </w:t>
      </w:r>
      <w:r w:rsidRPr="00F43944">
        <w:rPr>
          <w:i/>
          <w:sz w:val="22"/>
          <w:szCs w:val="22"/>
        </w:rPr>
        <w:t>Stockwell,</w:t>
      </w:r>
      <w:r w:rsidRPr="00F43944">
        <w:rPr>
          <w:sz w:val="22"/>
          <w:szCs w:val="22"/>
        </w:rPr>
        <w:t xml:space="preserve"> 7 Cal. App. at 416-17 (holding the statutory predecessor to § 2932.5 did not apply to deeds of trust because they were fundamentally different from mortgages)</w:t>
      </w:r>
      <w:r w:rsidRPr="00F43944">
        <w:rPr>
          <w:color w:val="000000"/>
          <w:sz w:val="22"/>
          <w:szCs w:val="22"/>
        </w:rPr>
        <w:t xml:space="preserve">. This Court also held </w:t>
      </w:r>
      <w:r w:rsidRPr="00F43944">
        <w:rPr>
          <w:i/>
          <w:color w:val="000000"/>
          <w:sz w:val="22"/>
          <w:szCs w:val="22"/>
        </w:rPr>
        <w:t>Stockwell</w:t>
      </w:r>
      <w:r w:rsidRPr="00F43944">
        <w:rPr>
          <w:color w:val="000000"/>
          <w:sz w:val="22"/>
          <w:szCs w:val="22"/>
        </w:rPr>
        <w:t>,</w:t>
      </w:r>
      <w:r w:rsidRPr="00F43944">
        <w:rPr>
          <w:i/>
          <w:color w:val="000000"/>
          <w:sz w:val="22"/>
          <w:szCs w:val="22"/>
        </w:rPr>
        <w:t xml:space="preserve"> id</w:t>
      </w:r>
      <w:r w:rsidRPr="00F43944">
        <w:rPr>
          <w:color w:val="000000"/>
          <w:sz w:val="22"/>
          <w:szCs w:val="22"/>
        </w:rPr>
        <w:t>.,</w:t>
      </w:r>
      <w:r w:rsidRPr="00F43944">
        <w:rPr>
          <w:i/>
          <w:color w:val="000000"/>
          <w:sz w:val="22"/>
          <w:szCs w:val="22"/>
        </w:rPr>
        <w:t xml:space="preserve"> </w:t>
      </w:r>
      <w:r w:rsidRPr="00F43944">
        <w:rPr>
          <w:sz w:val="22"/>
          <w:szCs w:val="22"/>
        </w:rPr>
        <w:t xml:space="preserve">was inconsistent with both California Supreme Court authority and statute relating to the relative importance of the assignments of the note and deed of trust. </w:t>
      </w:r>
      <w:r w:rsidRPr="00F43944">
        <w:rPr>
          <w:i/>
          <w:sz w:val="22"/>
          <w:szCs w:val="22"/>
        </w:rPr>
        <w:t>See</w:t>
      </w:r>
      <w:r w:rsidRPr="00F43944">
        <w:rPr>
          <w:sz w:val="22"/>
          <w:szCs w:val="22"/>
        </w:rPr>
        <w:t xml:space="preserve"> </w:t>
      </w:r>
      <w:r w:rsidRPr="00F43944">
        <w:rPr>
          <w:i/>
          <w:sz w:val="22"/>
          <w:szCs w:val="22"/>
        </w:rPr>
        <w:t>Polhemus v. Trainer,</w:t>
      </w:r>
      <w:r w:rsidRPr="00F43944">
        <w:rPr>
          <w:sz w:val="22"/>
          <w:szCs w:val="22"/>
        </w:rPr>
        <w:t xml:space="preserve"> 30 Cal. 686, 688 (Cal. 1866)</w:t>
      </w:r>
      <w:r>
        <w:rPr>
          <w:sz w:val="22"/>
          <w:szCs w:val="22"/>
        </w:rPr>
        <w:t xml:space="preserve"> </w:t>
      </w:r>
      <w:r w:rsidRPr="00F43944">
        <w:rPr>
          <w:sz w:val="22"/>
          <w:szCs w:val="22"/>
        </w:rPr>
        <w:t xml:space="preserve">("An assignment of the mortgage without the debt is a nullity."). Finally, this Court </w:t>
      </w:r>
      <w:r w:rsidRPr="00F43944">
        <w:rPr>
          <w:color w:val="000000"/>
          <w:sz w:val="22"/>
          <w:szCs w:val="22"/>
        </w:rPr>
        <w:t xml:space="preserve">rejected the argument that MERS was a statutory alternative to following the public recording systems, an argument that is not being pursued here. </w:t>
      </w:r>
      <w:r w:rsidRPr="00F43944">
        <w:rPr>
          <w:sz w:val="22"/>
          <w:szCs w:val="22"/>
        </w:rPr>
        <w:t xml:space="preserve">MERS' role in any event had ended by the time of the Cruz foreclosure. </w:t>
      </w:r>
      <w:r w:rsidRPr="00F43944">
        <w:rPr>
          <w:i/>
          <w:color w:val="000000"/>
          <w:sz w:val="22"/>
          <w:szCs w:val="22"/>
        </w:rPr>
        <w:t xml:space="preserve">Salazar </w:t>
      </w:r>
      <w:r>
        <w:rPr>
          <w:color w:val="000000"/>
          <w:sz w:val="22"/>
          <w:szCs w:val="22"/>
        </w:rPr>
        <w:t>was reversed and remanded in</w:t>
      </w:r>
      <w:r w:rsidRPr="00F43944">
        <w:rPr>
          <w:color w:val="000000"/>
          <w:sz w:val="22"/>
          <w:szCs w:val="22"/>
        </w:rPr>
        <w:t xml:space="preserve"> </w:t>
      </w:r>
      <w:r w:rsidRPr="00F43944">
        <w:rPr>
          <w:i/>
          <w:iCs/>
          <w:color w:val="000000"/>
          <w:sz w:val="22"/>
          <w:szCs w:val="22"/>
        </w:rPr>
        <w:t>U.S. Bank N.A. v. Skelton (In re Salazar)</w:t>
      </w:r>
      <w:r w:rsidRPr="00F43944">
        <w:rPr>
          <w:color w:val="000000"/>
          <w:sz w:val="22"/>
          <w:szCs w:val="22"/>
        </w:rPr>
        <w:t xml:space="preserve">, 470 B.R. 557, 560-562 (S.D. Cal. 2012), because it was at odds with the majority of the state court intermediate cases, but the district court </w:t>
      </w:r>
      <w:r>
        <w:rPr>
          <w:color w:val="000000"/>
          <w:sz w:val="22"/>
          <w:szCs w:val="22"/>
        </w:rPr>
        <w:t xml:space="preserve">decision </w:t>
      </w:r>
      <w:r w:rsidRPr="00F43944">
        <w:rPr>
          <w:color w:val="000000"/>
          <w:sz w:val="22"/>
          <w:szCs w:val="22"/>
        </w:rPr>
        <w:t xml:space="preserve">did not discuss </w:t>
      </w:r>
      <w:r w:rsidRPr="00F43944">
        <w:rPr>
          <w:i/>
          <w:color w:val="000000"/>
          <w:sz w:val="22"/>
          <w:szCs w:val="22"/>
        </w:rPr>
        <w:t xml:space="preserve">Monterey. </w:t>
      </w:r>
    </w:p>
    <w:p w:rsidR="00B9025B" w:rsidRPr="00F43944" w:rsidRDefault="00B9025B" w:rsidP="00D5037B">
      <w:pPr>
        <w:widowControl/>
        <w:spacing w:line="240" w:lineRule="auto"/>
        <w:rPr>
          <w:i/>
          <w:color w:val="000000"/>
          <w:sz w:val="22"/>
          <w:szCs w:val="22"/>
        </w:rPr>
      </w:pPr>
    </w:p>
    <w:p w:rsidR="00B9025B" w:rsidRPr="00F43944" w:rsidRDefault="00B9025B" w:rsidP="005A3320">
      <w:pPr>
        <w:pStyle w:val="FootnoteText"/>
        <w:jc w:val="left"/>
        <w:rPr>
          <w:color w:val="000000"/>
          <w:sz w:val="22"/>
          <w:szCs w:val="22"/>
        </w:rPr>
      </w:pPr>
      <w:r w:rsidRPr="00F43944">
        <w:rPr>
          <w:sz w:val="22"/>
          <w:szCs w:val="22"/>
        </w:rPr>
        <w:t xml:space="preserve">In its second review of the </w:t>
      </w:r>
      <w:r w:rsidRPr="00F43944">
        <w:rPr>
          <w:color w:val="000000"/>
          <w:sz w:val="22"/>
          <w:szCs w:val="22"/>
        </w:rPr>
        <w:t>issue</w:t>
      </w:r>
      <w:r w:rsidRPr="00F43944">
        <w:rPr>
          <w:sz w:val="22"/>
          <w:szCs w:val="22"/>
        </w:rPr>
        <w:t xml:space="preserve">, </w:t>
      </w:r>
      <w:r>
        <w:rPr>
          <w:i/>
          <w:sz w:val="22"/>
          <w:szCs w:val="22"/>
        </w:rPr>
        <w:t>Cruz I</w:t>
      </w:r>
      <w:r w:rsidRPr="00F43944">
        <w:rPr>
          <w:i/>
          <w:sz w:val="22"/>
          <w:szCs w:val="22"/>
        </w:rPr>
        <w:t xml:space="preserve"> </w:t>
      </w:r>
      <w:r w:rsidRPr="00F43944">
        <w:rPr>
          <w:sz w:val="22"/>
          <w:szCs w:val="22"/>
        </w:rPr>
        <w:t>determin</w:t>
      </w:r>
      <w:r>
        <w:rPr>
          <w:sz w:val="22"/>
          <w:szCs w:val="22"/>
        </w:rPr>
        <w:t>ed</w:t>
      </w:r>
      <w:r w:rsidRPr="00F43944">
        <w:rPr>
          <w:sz w:val="22"/>
          <w:szCs w:val="22"/>
        </w:rPr>
        <w:t xml:space="preserve"> the beneficiary to be the true party in interest in regard to the deed of trust </w:t>
      </w:r>
      <w:r>
        <w:rPr>
          <w:sz w:val="22"/>
          <w:szCs w:val="22"/>
        </w:rPr>
        <w:t xml:space="preserve">(457 B.R. at 817), </w:t>
      </w:r>
      <w:r w:rsidRPr="00F43944">
        <w:rPr>
          <w:sz w:val="22"/>
          <w:szCs w:val="22"/>
        </w:rPr>
        <w:t>and h</w:t>
      </w:r>
      <w:r>
        <w:rPr>
          <w:sz w:val="22"/>
          <w:szCs w:val="22"/>
        </w:rPr>
        <w:t xml:space="preserve">eld </w:t>
      </w:r>
      <w:r w:rsidRPr="00F43944">
        <w:rPr>
          <w:sz w:val="22"/>
          <w:szCs w:val="22"/>
        </w:rPr>
        <w:t>that a gap in title would result if the interest of the foreclosing beneficiary was not of record before it foreclosed</w:t>
      </w:r>
      <w:r>
        <w:rPr>
          <w:sz w:val="22"/>
          <w:szCs w:val="22"/>
        </w:rPr>
        <w:t xml:space="preserve"> (</w:t>
      </w:r>
      <w:r>
        <w:rPr>
          <w:i/>
          <w:sz w:val="22"/>
          <w:szCs w:val="22"/>
        </w:rPr>
        <w:t xml:space="preserve">id. at </w:t>
      </w:r>
      <w:r>
        <w:rPr>
          <w:sz w:val="22"/>
          <w:szCs w:val="22"/>
        </w:rPr>
        <w:t>818). However</w:t>
      </w:r>
      <w:r w:rsidRPr="00F43944">
        <w:rPr>
          <w:sz w:val="22"/>
          <w:szCs w:val="22"/>
        </w:rPr>
        <w:t>,</w:t>
      </w:r>
      <w:r>
        <w:rPr>
          <w:sz w:val="22"/>
          <w:szCs w:val="22"/>
        </w:rPr>
        <w:t xml:space="preserve"> </w:t>
      </w:r>
      <w:r>
        <w:rPr>
          <w:i/>
          <w:sz w:val="22"/>
          <w:szCs w:val="22"/>
        </w:rPr>
        <w:t>Cruz I</w:t>
      </w:r>
      <w:r w:rsidRPr="00F43944">
        <w:rPr>
          <w:sz w:val="22"/>
          <w:szCs w:val="22"/>
        </w:rPr>
        <w:t xml:space="preserve"> did not address the</w:t>
      </w:r>
      <w:r>
        <w:rPr>
          <w:sz w:val="22"/>
          <w:szCs w:val="22"/>
        </w:rPr>
        <w:t xml:space="preserve"> </w:t>
      </w:r>
      <w:r w:rsidRPr="00F43944">
        <w:rPr>
          <w:sz w:val="22"/>
          <w:szCs w:val="22"/>
        </w:rPr>
        <w:t>statutes</w:t>
      </w:r>
      <w:r>
        <w:rPr>
          <w:sz w:val="22"/>
          <w:szCs w:val="22"/>
        </w:rPr>
        <w:t xml:space="preserve"> analyzed here</w:t>
      </w:r>
      <w:r w:rsidRPr="00F43944">
        <w:rPr>
          <w:sz w:val="22"/>
          <w:szCs w:val="22"/>
        </w:rPr>
        <w:t>.</w:t>
      </w:r>
    </w:p>
  </w:footnote>
  <w:footnote w:id="9">
    <w:p w:rsidR="00B9025B" w:rsidRPr="00F43944" w:rsidRDefault="00B9025B" w:rsidP="004D12B8">
      <w:pPr>
        <w:pStyle w:val="FootnoteText"/>
        <w:jc w:val="left"/>
        <w:rPr>
          <w:sz w:val="22"/>
          <w:szCs w:val="22"/>
        </w:rPr>
      </w:pPr>
      <w:r w:rsidRPr="00F43944">
        <w:rPr>
          <w:rStyle w:val="FootnoteReference"/>
          <w:sz w:val="22"/>
          <w:szCs w:val="22"/>
        </w:rPr>
        <w:footnoteRef/>
      </w:r>
      <w:r w:rsidRPr="00F43944">
        <w:rPr>
          <w:sz w:val="22"/>
          <w:szCs w:val="22"/>
        </w:rPr>
        <w:t xml:space="preserve"> </w:t>
      </w:r>
      <w:r>
        <w:rPr>
          <w:sz w:val="22"/>
          <w:szCs w:val="22"/>
        </w:rPr>
        <w:t>T</w:t>
      </w:r>
      <w:r w:rsidRPr="00F43944">
        <w:rPr>
          <w:sz w:val="22"/>
          <w:szCs w:val="22"/>
        </w:rPr>
        <w:t xml:space="preserve">he key difference between mortgages and deeds of trust is that a mortgage is a two-party security instrument and a trust deed is a three-party security instrument. The deed of trust involves the trustor in the place of the borrower/mortgagor and </w:t>
      </w:r>
      <w:r w:rsidRPr="002A4573">
        <w:rPr>
          <w:sz w:val="22"/>
          <w:szCs w:val="22"/>
        </w:rPr>
        <w:t xml:space="preserve">the beneficiary in the place of the lender/mortgagee, and also has a trustee. </w:t>
      </w:r>
      <w:r w:rsidRPr="002A4573">
        <w:rPr>
          <w:i/>
          <w:sz w:val="22"/>
          <w:szCs w:val="22"/>
        </w:rPr>
        <w:t xml:space="preserve">Aviel v. Ng, </w:t>
      </w:r>
      <w:r w:rsidRPr="002A4573">
        <w:rPr>
          <w:sz w:val="22"/>
          <w:szCs w:val="22"/>
        </w:rPr>
        <w:t>161 Cal. App. 4th 809, 816 (Cal. App. 1st Dist. 2008); 4 B.E. Witkin, Summary of California Law, Ch. VIII, § 5, at 795 (10th ed. 2012) (hereinafter "Witkin"); Harry D. Miller &amp; Marvin B. Starr, California Real Estate § 10.3 (3rd ed. 2010) (hereinafter "Miller &amp; Starr").</w:t>
      </w:r>
      <w:r w:rsidRPr="00F43944">
        <w:rPr>
          <w:sz w:val="22"/>
          <w:szCs w:val="22"/>
        </w:rPr>
        <w:t xml:space="preserve"> </w:t>
      </w:r>
    </w:p>
  </w:footnote>
  <w:footnote w:id="10">
    <w:p w:rsidR="00B9025B" w:rsidRPr="000A3C75" w:rsidRDefault="00B9025B" w:rsidP="00046708">
      <w:pPr>
        <w:pStyle w:val="FootnoteText"/>
        <w:jc w:val="left"/>
        <w:rPr>
          <w:sz w:val="22"/>
          <w:szCs w:val="22"/>
        </w:rPr>
      </w:pPr>
      <w:r w:rsidRPr="00F43944">
        <w:rPr>
          <w:rStyle w:val="FootnoteReference"/>
          <w:sz w:val="22"/>
          <w:szCs w:val="22"/>
        </w:rPr>
        <w:footnoteRef/>
      </w:r>
      <w:r w:rsidRPr="00F43944">
        <w:rPr>
          <w:sz w:val="22"/>
          <w:szCs w:val="22"/>
        </w:rPr>
        <w:t xml:space="preserve"> </w:t>
      </w:r>
      <w:r w:rsidRPr="000A3C75">
        <w:rPr>
          <w:i/>
          <w:sz w:val="22"/>
          <w:szCs w:val="22"/>
        </w:rPr>
        <w:t>See</w:t>
      </w:r>
      <w:r w:rsidRPr="000A3C75">
        <w:rPr>
          <w:sz w:val="22"/>
          <w:szCs w:val="22"/>
        </w:rPr>
        <w:t xml:space="preserve"> </w:t>
      </w:r>
      <w:r w:rsidRPr="000A3C75">
        <w:rPr>
          <w:i/>
          <w:sz w:val="22"/>
          <w:szCs w:val="22"/>
        </w:rPr>
        <w:t>Grant v. Heverin</w:t>
      </w:r>
      <w:r w:rsidRPr="000A3C75">
        <w:rPr>
          <w:sz w:val="22"/>
          <w:szCs w:val="22"/>
        </w:rPr>
        <w:t xml:space="preserve">, 77 Cal. 263, 266 (1888) ("I know of no rule of law which empowers an agent, without authority of his principal, to substitute another agent in his place, or a trustee by his conveyance or assignment to put another person in his place as trustee, without the consent of the beneficiaries."); </w:t>
      </w:r>
      <w:r w:rsidRPr="000A3C75">
        <w:rPr>
          <w:i/>
          <w:sz w:val="22"/>
          <w:szCs w:val="22"/>
        </w:rPr>
        <w:t>see also</w:t>
      </w:r>
      <w:r w:rsidRPr="000A3C75">
        <w:rPr>
          <w:sz w:val="22"/>
          <w:szCs w:val="22"/>
        </w:rPr>
        <w:t xml:space="preserve"> </w:t>
      </w:r>
      <w:r w:rsidRPr="000A3C75">
        <w:rPr>
          <w:i/>
          <w:sz w:val="22"/>
          <w:szCs w:val="22"/>
        </w:rPr>
        <w:t>Walton v. Mortg</w:t>
      </w:r>
      <w:r>
        <w:rPr>
          <w:i/>
          <w:sz w:val="22"/>
          <w:szCs w:val="22"/>
        </w:rPr>
        <w:t>.</w:t>
      </w:r>
      <w:r w:rsidRPr="000A3C75">
        <w:rPr>
          <w:i/>
          <w:sz w:val="22"/>
          <w:szCs w:val="22"/>
        </w:rPr>
        <w:t xml:space="preserve"> Elec. Registration Sys., </w:t>
      </w:r>
      <w:r w:rsidRPr="000A3C75">
        <w:rPr>
          <w:sz w:val="22"/>
          <w:szCs w:val="22"/>
        </w:rPr>
        <w:t>2013 U.S. App. LEXIS 2846, at *2 (9th Cir. Feb. 11, 2013) (unpublished) (citing § 2934a(d) upon stating that "there is no requirement that a trustee consent to a substitution of trustee").</w:t>
      </w:r>
    </w:p>
  </w:footnote>
  <w:footnote w:id="11">
    <w:p w:rsidR="00B9025B" w:rsidRPr="00F43944" w:rsidRDefault="00B9025B" w:rsidP="00046708">
      <w:pPr>
        <w:pStyle w:val="FootnoteText"/>
        <w:rPr>
          <w:sz w:val="22"/>
          <w:szCs w:val="22"/>
        </w:rPr>
      </w:pPr>
      <w:r w:rsidRPr="00F43944">
        <w:rPr>
          <w:rStyle w:val="FootnoteReference"/>
          <w:sz w:val="22"/>
          <w:szCs w:val="22"/>
        </w:rPr>
        <w:footnoteRef/>
      </w:r>
      <w:r w:rsidRPr="00F43944">
        <w:rPr>
          <w:sz w:val="22"/>
          <w:szCs w:val="22"/>
        </w:rPr>
        <w:t xml:space="preserve"> </w:t>
      </w:r>
      <w:r w:rsidRPr="00F43944">
        <w:rPr>
          <w:i/>
          <w:sz w:val="22"/>
          <w:szCs w:val="22"/>
        </w:rPr>
        <w:t>See</w:t>
      </w:r>
      <w:r w:rsidRPr="00F43944">
        <w:rPr>
          <w:sz w:val="22"/>
          <w:szCs w:val="22"/>
        </w:rPr>
        <w:t xml:space="preserve"> Defendants' Motion to Dismiss, Exhibit 1, Deed of Trust ¶ 22, Doc</w:t>
      </w:r>
      <w:r>
        <w:rPr>
          <w:sz w:val="22"/>
          <w:szCs w:val="22"/>
        </w:rPr>
        <w:t>ket</w:t>
      </w:r>
      <w:r w:rsidRPr="00F43944">
        <w:rPr>
          <w:sz w:val="22"/>
          <w:szCs w:val="22"/>
        </w:rPr>
        <w:t xml:space="preserve"> #79-3.</w:t>
      </w:r>
    </w:p>
  </w:footnote>
  <w:footnote w:id="12">
    <w:p w:rsidR="00B9025B" w:rsidRPr="00F43944" w:rsidRDefault="00B9025B" w:rsidP="00D5037B">
      <w:pPr>
        <w:widowControl/>
        <w:autoSpaceDE w:val="0"/>
        <w:autoSpaceDN w:val="0"/>
        <w:adjustRightInd w:val="0"/>
        <w:spacing w:line="240" w:lineRule="auto"/>
        <w:rPr>
          <w:sz w:val="22"/>
          <w:szCs w:val="22"/>
        </w:rPr>
      </w:pPr>
      <w:r w:rsidRPr="00F43944">
        <w:rPr>
          <w:rStyle w:val="FootnoteReference"/>
          <w:sz w:val="22"/>
          <w:szCs w:val="22"/>
        </w:rPr>
        <w:footnoteRef/>
      </w:r>
      <w:r w:rsidRPr="00F43944">
        <w:rPr>
          <w:sz w:val="22"/>
          <w:szCs w:val="22"/>
        </w:rPr>
        <w:t xml:space="preserve"> The Debtor distinguishes </w:t>
      </w:r>
      <w:r w:rsidRPr="00F43944">
        <w:rPr>
          <w:i/>
          <w:iCs/>
          <w:color w:val="000000"/>
          <w:sz w:val="22"/>
          <w:szCs w:val="22"/>
        </w:rPr>
        <w:t>Far West</w:t>
      </w:r>
      <w:r w:rsidRPr="00F43944">
        <w:rPr>
          <w:color w:val="000000"/>
          <w:sz w:val="22"/>
          <w:szCs w:val="22"/>
        </w:rPr>
        <w:t xml:space="preserve">, 201 Cal.App.3d at 73, on the ground that since the deed of trust was recorded after the deed to the Debtor, no gap in title resulted. While this distinction is true of the recording of the original deed of trust, it is not pertinent to the issues before the Court involving </w:t>
      </w:r>
      <w:r>
        <w:rPr>
          <w:color w:val="000000"/>
          <w:sz w:val="22"/>
          <w:szCs w:val="22"/>
        </w:rPr>
        <w:t xml:space="preserve">the assignment of ING's beneficial interest in the deed of trust.  </w:t>
      </w:r>
    </w:p>
  </w:footnote>
  <w:footnote w:id="13">
    <w:p w:rsidR="00B9025B" w:rsidRDefault="00B9025B" w:rsidP="00C45062">
      <w:pPr>
        <w:spacing w:line="240" w:lineRule="auto"/>
        <w:rPr>
          <w:sz w:val="22"/>
          <w:szCs w:val="22"/>
        </w:rPr>
      </w:pPr>
      <w:r w:rsidRPr="00F43944">
        <w:rPr>
          <w:rStyle w:val="FootnoteReference"/>
          <w:sz w:val="22"/>
          <w:szCs w:val="22"/>
        </w:rPr>
        <w:footnoteRef/>
      </w:r>
      <w:r>
        <w:rPr>
          <w:sz w:val="22"/>
          <w:szCs w:val="22"/>
        </w:rPr>
        <w:t xml:space="preserve"> T</w:t>
      </w:r>
      <w:r w:rsidRPr="00F43944">
        <w:rPr>
          <w:sz w:val="22"/>
          <w:szCs w:val="22"/>
        </w:rPr>
        <w:t xml:space="preserve">he Court has reviewed the declaration of </w:t>
      </w:r>
      <w:r w:rsidRPr="00F43944">
        <w:rPr>
          <w:bCs/>
          <w:sz w:val="22"/>
          <w:szCs w:val="22"/>
        </w:rPr>
        <w:t xml:space="preserve">Viola Ninchak submitted by Defendants. </w:t>
      </w:r>
      <w:r w:rsidRPr="00C45062">
        <w:rPr>
          <w:bCs/>
          <w:i/>
          <w:sz w:val="22"/>
          <w:szCs w:val="22"/>
        </w:rPr>
        <w:t>See</w:t>
      </w:r>
      <w:r>
        <w:rPr>
          <w:bCs/>
          <w:sz w:val="22"/>
          <w:szCs w:val="22"/>
        </w:rPr>
        <w:t xml:space="preserve"> Declaration of Viola Ninchak, Doc. #94.  </w:t>
      </w:r>
      <w:r w:rsidRPr="00F43944">
        <w:rPr>
          <w:bCs/>
          <w:sz w:val="22"/>
          <w:szCs w:val="22"/>
        </w:rPr>
        <w:t>She avers to be a person employed by First Support Legal Services, but demonstrates no knowledge, training</w:t>
      </w:r>
      <w:r>
        <w:rPr>
          <w:bCs/>
          <w:sz w:val="22"/>
          <w:szCs w:val="22"/>
        </w:rPr>
        <w:t xml:space="preserve"> or experience in title matters, and </w:t>
      </w:r>
      <w:r w:rsidRPr="00F43944">
        <w:rPr>
          <w:bCs/>
          <w:sz w:val="22"/>
          <w:szCs w:val="22"/>
        </w:rPr>
        <w:t xml:space="preserve">her declaration is not persuasive to the Court. </w:t>
      </w:r>
      <w:r w:rsidRPr="00BB05FD">
        <w:rPr>
          <w:bCs/>
          <w:sz w:val="22"/>
          <w:szCs w:val="22"/>
        </w:rPr>
        <w:t xml:space="preserve">The declaration also </w:t>
      </w:r>
      <w:r w:rsidRPr="00BB05FD">
        <w:rPr>
          <w:sz w:val="22"/>
          <w:szCs w:val="22"/>
        </w:rPr>
        <w:t>attaches a copy of the results of her internet search under the name Cirilo Cruz.</w:t>
      </w:r>
      <w:r w:rsidRPr="00F43944">
        <w:rPr>
          <w:sz w:val="22"/>
          <w:szCs w:val="22"/>
        </w:rPr>
        <w:t xml:space="preserve"> </w:t>
      </w:r>
      <w:r>
        <w:rPr>
          <w:sz w:val="22"/>
          <w:szCs w:val="22"/>
        </w:rPr>
        <w:t xml:space="preserve">It is unclear if Ms. </w:t>
      </w:r>
      <w:r w:rsidRPr="00F43944">
        <w:rPr>
          <w:sz w:val="22"/>
          <w:szCs w:val="22"/>
        </w:rPr>
        <w:t xml:space="preserve">Ninchak </w:t>
      </w:r>
      <w:r>
        <w:rPr>
          <w:sz w:val="22"/>
          <w:szCs w:val="22"/>
        </w:rPr>
        <w:t>conducted a</w:t>
      </w:r>
      <w:r w:rsidRPr="00F43944">
        <w:rPr>
          <w:sz w:val="22"/>
          <w:szCs w:val="22"/>
        </w:rPr>
        <w:t xml:space="preserve"> search of the grantor/grantee index, which the County of San Diego</w:t>
      </w:r>
      <w:r>
        <w:rPr>
          <w:sz w:val="22"/>
          <w:szCs w:val="22"/>
        </w:rPr>
        <w:t xml:space="preserve"> is required to maintain by law</w:t>
      </w:r>
      <w:r w:rsidRPr="00F43944">
        <w:rPr>
          <w:sz w:val="22"/>
          <w:szCs w:val="22"/>
        </w:rPr>
        <w:t xml:space="preserve">. </w:t>
      </w:r>
      <w:r>
        <w:rPr>
          <w:sz w:val="22"/>
          <w:szCs w:val="22"/>
        </w:rPr>
        <w:t>Her results include</w:t>
      </w:r>
      <w:r w:rsidRPr="00F43944">
        <w:rPr>
          <w:sz w:val="22"/>
          <w:szCs w:val="22"/>
        </w:rPr>
        <w:t xml:space="preserve"> numerous transactions that appear unrelated to the issues before this Court, and there may be other deeds of trust, properties or even other people in this county named Cirilo Cruz. For these reasons, an index of only one party's name not qualified by property address or limited by the other party to the transaction is of little relevance to the Court's question attempting to ascertain the chain of title for the deed of trust involved in this action. </w:t>
      </w:r>
    </w:p>
    <w:p w:rsidR="00B9025B" w:rsidRDefault="00B9025B" w:rsidP="00C45062">
      <w:pPr>
        <w:spacing w:line="240" w:lineRule="auto"/>
        <w:rPr>
          <w:sz w:val="22"/>
          <w:szCs w:val="22"/>
        </w:rPr>
      </w:pPr>
    </w:p>
    <w:p w:rsidR="00B9025B" w:rsidRPr="00F43944" w:rsidRDefault="00B9025B" w:rsidP="00C45062">
      <w:pPr>
        <w:spacing w:line="240" w:lineRule="auto"/>
        <w:rPr>
          <w:color w:val="000000"/>
          <w:sz w:val="22"/>
          <w:szCs w:val="22"/>
        </w:rPr>
      </w:pPr>
    </w:p>
  </w:footnote>
  <w:footnote w:id="14">
    <w:p w:rsidR="00B9025B" w:rsidRDefault="00B9025B" w:rsidP="0090737F">
      <w:pPr>
        <w:rPr>
          <w:sz w:val="22"/>
          <w:szCs w:val="22"/>
        </w:rPr>
      </w:pPr>
      <w:r w:rsidRPr="00F43944">
        <w:rPr>
          <w:rStyle w:val="FootnoteReference"/>
          <w:sz w:val="22"/>
          <w:szCs w:val="22"/>
        </w:rPr>
        <w:footnoteRef/>
      </w:r>
      <w:r w:rsidRPr="00F43944">
        <w:rPr>
          <w:sz w:val="22"/>
          <w:szCs w:val="22"/>
        </w:rPr>
        <w:t xml:space="preserve"> There are only three documents relevant to the deed of trust in the record before the Court: 1) the deed of trust </w:t>
      </w:r>
      <w:r w:rsidRPr="00F43944">
        <w:rPr>
          <w:color w:val="000000"/>
          <w:sz w:val="22"/>
          <w:szCs w:val="22"/>
        </w:rPr>
        <w:t xml:space="preserve">between the Debtor as trustor, </w:t>
      </w:r>
      <w:r w:rsidRPr="00F43944">
        <w:rPr>
          <w:sz w:val="22"/>
          <w:szCs w:val="22"/>
        </w:rPr>
        <w:t>Stewart Title</w:t>
      </w:r>
      <w:r>
        <w:rPr>
          <w:color w:val="000000"/>
          <w:sz w:val="22"/>
          <w:szCs w:val="22"/>
        </w:rPr>
        <w:t xml:space="preserve">, </w:t>
      </w:r>
      <w:r w:rsidRPr="00F43944">
        <w:rPr>
          <w:color w:val="000000"/>
          <w:sz w:val="22"/>
          <w:szCs w:val="22"/>
        </w:rPr>
        <w:t>as trustee, and MERS</w:t>
      </w:r>
      <w:r>
        <w:rPr>
          <w:color w:val="000000"/>
          <w:sz w:val="22"/>
          <w:szCs w:val="22"/>
        </w:rPr>
        <w:t>,</w:t>
      </w:r>
      <w:r w:rsidRPr="00F43944">
        <w:rPr>
          <w:color w:val="000000"/>
          <w:sz w:val="22"/>
          <w:szCs w:val="22"/>
        </w:rPr>
        <w:t xml:space="preserve"> as nominee of SCME (Official Record Doc. No. 2004-1211211)</w:t>
      </w:r>
      <w:r w:rsidRPr="00F43944">
        <w:rPr>
          <w:sz w:val="22"/>
          <w:szCs w:val="22"/>
        </w:rPr>
        <w:t xml:space="preserve">, Exhibit 1, Doc. #79-3, at 2; 2) the substitution of trustee </w:t>
      </w:r>
      <w:r w:rsidRPr="00F43944">
        <w:rPr>
          <w:color w:val="000000"/>
          <w:sz w:val="22"/>
          <w:szCs w:val="22"/>
        </w:rPr>
        <w:t>under the deed of trust by Stewart Title to Quality Loan</w:t>
      </w:r>
      <w:r>
        <w:rPr>
          <w:color w:val="000000"/>
          <w:sz w:val="22"/>
          <w:szCs w:val="22"/>
        </w:rPr>
        <w:t xml:space="preserve"> </w:t>
      </w:r>
      <w:r w:rsidRPr="00F43944">
        <w:rPr>
          <w:color w:val="000000"/>
          <w:sz w:val="22"/>
          <w:szCs w:val="22"/>
        </w:rPr>
        <w:t xml:space="preserve">(Official Record Doc. No. 2009-0423592), </w:t>
      </w:r>
      <w:r w:rsidRPr="00F43944">
        <w:rPr>
          <w:sz w:val="22"/>
          <w:szCs w:val="22"/>
        </w:rPr>
        <w:t xml:space="preserve">Exhibit 3, Doc. #79-3, at 33; and 3) </w:t>
      </w:r>
      <w:r w:rsidRPr="00F43944">
        <w:rPr>
          <w:color w:val="000000"/>
          <w:sz w:val="22"/>
          <w:szCs w:val="22"/>
        </w:rPr>
        <w:t xml:space="preserve">the trustee's deed from the foreclosure sale from both Quality </w:t>
      </w:r>
      <w:r>
        <w:rPr>
          <w:color w:val="000000"/>
          <w:sz w:val="22"/>
          <w:szCs w:val="22"/>
        </w:rPr>
        <w:t xml:space="preserve">Loan, </w:t>
      </w:r>
      <w:r w:rsidRPr="00F43944">
        <w:rPr>
          <w:color w:val="000000"/>
          <w:sz w:val="22"/>
          <w:szCs w:val="22"/>
        </w:rPr>
        <w:t>as trustee</w:t>
      </w:r>
      <w:r>
        <w:rPr>
          <w:color w:val="000000"/>
          <w:sz w:val="22"/>
          <w:szCs w:val="22"/>
        </w:rPr>
        <w:t>,</w:t>
      </w:r>
      <w:r w:rsidRPr="00F43944">
        <w:rPr>
          <w:color w:val="000000"/>
          <w:sz w:val="22"/>
          <w:szCs w:val="22"/>
        </w:rPr>
        <w:t xml:space="preserve"> and ING</w:t>
      </w:r>
      <w:r>
        <w:rPr>
          <w:color w:val="000000"/>
          <w:sz w:val="22"/>
          <w:szCs w:val="22"/>
        </w:rPr>
        <w:t>,</w:t>
      </w:r>
      <w:r w:rsidRPr="00F43944">
        <w:rPr>
          <w:color w:val="000000"/>
          <w:sz w:val="22"/>
          <w:szCs w:val="22"/>
        </w:rPr>
        <w:t xml:space="preserve"> as foreclosing beneficiary</w:t>
      </w:r>
      <w:r>
        <w:rPr>
          <w:color w:val="000000"/>
          <w:sz w:val="22"/>
          <w:szCs w:val="22"/>
        </w:rPr>
        <w:t>,</w:t>
      </w:r>
      <w:r w:rsidRPr="00F43944">
        <w:rPr>
          <w:color w:val="000000"/>
          <w:sz w:val="22"/>
          <w:szCs w:val="22"/>
        </w:rPr>
        <w:t xml:space="preserve"> to ING as the fee title holder (Official Record Doc. No. 2010-0298513)</w:t>
      </w:r>
      <w:r>
        <w:rPr>
          <w:color w:val="000000"/>
          <w:sz w:val="22"/>
          <w:szCs w:val="22"/>
        </w:rPr>
        <w:t xml:space="preserve">, </w:t>
      </w:r>
      <w:r w:rsidRPr="00F43944">
        <w:rPr>
          <w:color w:val="000000"/>
          <w:sz w:val="22"/>
          <w:szCs w:val="22"/>
        </w:rPr>
        <w:t>E</w:t>
      </w:r>
      <w:r w:rsidRPr="00F43944">
        <w:rPr>
          <w:sz w:val="22"/>
          <w:szCs w:val="22"/>
        </w:rPr>
        <w:t>xhibit 5, Doc. #79-3, at 40.</w:t>
      </w:r>
    </w:p>
    <w:p w:rsidR="00B9025B" w:rsidRPr="00F43944" w:rsidRDefault="00B9025B" w:rsidP="0090737F">
      <w:pPr>
        <w:rPr>
          <w:sz w:val="22"/>
          <w:szCs w:val="22"/>
        </w:rPr>
      </w:pPr>
    </w:p>
    <w:p w:rsidR="00B9025B" w:rsidRDefault="00B9025B" w:rsidP="0090737F">
      <w:pPr>
        <w:rPr>
          <w:sz w:val="22"/>
          <w:szCs w:val="22"/>
        </w:rPr>
      </w:pPr>
      <w:r w:rsidRPr="00F43944">
        <w:rPr>
          <w:sz w:val="22"/>
          <w:szCs w:val="22"/>
        </w:rPr>
        <w:t>The Court takes judicial notice of the recording information contained in these documents because the records "can be accurately and readily determined from sources whose accuracy cannot reasonably be questioned." Fed. R. Evid. 201(b)</w:t>
      </w:r>
      <w:r>
        <w:rPr>
          <w:sz w:val="22"/>
          <w:szCs w:val="22"/>
        </w:rPr>
        <w:t>(2) (as app</w:t>
      </w:r>
      <w:r w:rsidRPr="00F43944">
        <w:rPr>
          <w:sz w:val="22"/>
          <w:szCs w:val="22"/>
        </w:rPr>
        <w:t xml:space="preserve">licable here, under Fed. Bankr. R. 9017); </w:t>
      </w:r>
      <w:r w:rsidRPr="00F43944">
        <w:rPr>
          <w:i/>
          <w:sz w:val="22"/>
          <w:szCs w:val="22"/>
        </w:rPr>
        <w:t>see also</w:t>
      </w:r>
      <w:r w:rsidRPr="00F43944">
        <w:rPr>
          <w:sz w:val="22"/>
          <w:szCs w:val="22"/>
        </w:rPr>
        <w:t xml:space="preserve"> </w:t>
      </w:r>
      <w:r w:rsidRPr="00F43944">
        <w:rPr>
          <w:i/>
          <w:sz w:val="22"/>
          <w:szCs w:val="22"/>
        </w:rPr>
        <w:t>Aliah K. v. Haw. Dep't of Educ</w:t>
      </w:r>
      <w:r w:rsidRPr="00F43944">
        <w:rPr>
          <w:sz w:val="22"/>
          <w:szCs w:val="22"/>
        </w:rPr>
        <w:t xml:space="preserve">., 788 F. Supp. 2d 1176, 1187 (D. Haw. 2011) (taking judicial notice </w:t>
      </w:r>
      <w:r w:rsidRPr="00F43944">
        <w:rPr>
          <w:i/>
          <w:sz w:val="22"/>
          <w:szCs w:val="22"/>
        </w:rPr>
        <w:t>sua sponte</w:t>
      </w:r>
      <w:r w:rsidRPr="00F43944">
        <w:rPr>
          <w:sz w:val="22"/>
          <w:szCs w:val="22"/>
        </w:rPr>
        <w:t xml:space="preserve"> of pleadings in another court case); </w:t>
      </w:r>
      <w:r w:rsidRPr="00F43944">
        <w:rPr>
          <w:i/>
          <w:sz w:val="22"/>
          <w:szCs w:val="22"/>
        </w:rPr>
        <w:t>Mesa Grande Band of Mission Indians v. Salazar</w:t>
      </w:r>
      <w:r w:rsidRPr="00F43944">
        <w:rPr>
          <w:sz w:val="22"/>
          <w:szCs w:val="22"/>
        </w:rPr>
        <w:t xml:space="preserve">, 657 F. Supp. 2d 1169, 1172 (S.D. Cal. 2009) (noting ability to take judicial notice </w:t>
      </w:r>
      <w:r w:rsidRPr="00E64D9C">
        <w:rPr>
          <w:sz w:val="22"/>
          <w:szCs w:val="22"/>
        </w:rPr>
        <w:t>sua sponte</w:t>
      </w:r>
      <w:r w:rsidRPr="00F43944">
        <w:rPr>
          <w:sz w:val="22"/>
          <w:szCs w:val="22"/>
        </w:rPr>
        <w:t xml:space="preserve">).  Moreover, a court "may presume that public records are authentic and trustworthy." </w:t>
      </w:r>
      <w:r w:rsidRPr="00F43944">
        <w:rPr>
          <w:i/>
          <w:sz w:val="22"/>
          <w:szCs w:val="22"/>
        </w:rPr>
        <w:t>Gilbrook v. City of Westminster</w:t>
      </w:r>
      <w:r w:rsidRPr="00F43944">
        <w:rPr>
          <w:sz w:val="22"/>
          <w:szCs w:val="22"/>
        </w:rPr>
        <w:t xml:space="preserve">, 177 F.3d 839, 858 (9th Cir. 1999); </w:t>
      </w:r>
      <w:r w:rsidRPr="00F43944">
        <w:rPr>
          <w:i/>
          <w:sz w:val="22"/>
          <w:szCs w:val="22"/>
        </w:rPr>
        <w:t>see also</w:t>
      </w:r>
      <w:r w:rsidRPr="00F43944">
        <w:rPr>
          <w:sz w:val="22"/>
          <w:szCs w:val="22"/>
        </w:rPr>
        <w:t xml:space="preserve"> </w:t>
      </w:r>
      <w:r w:rsidRPr="00F43944">
        <w:rPr>
          <w:i/>
          <w:sz w:val="22"/>
          <w:szCs w:val="22"/>
        </w:rPr>
        <w:t>Lee v. City of Los Angeles</w:t>
      </w:r>
      <w:r w:rsidRPr="00F43944">
        <w:rPr>
          <w:sz w:val="22"/>
          <w:szCs w:val="22"/>
        </w:rPr>
        <w:t>, 250 F.3d 668, 688-89 (9th Cir. 2001) (judicial notice of matters of public record).</w:t>
      </w:r>
    </w:p>
    <w:p w:rsidR="00B9025B" w:rsidRPr="00F43944" w:rsidRDefault="00B9025B" w:rsidP="0090737F">
      <w:pPr>
        <w:rPr>
          <w:sz w:val="22"/>
          <w:szCs w:val="22"/>
        </w:rPr>
      </w:pPr>
    </w:p>
  </w:footnote>
  <w:footnote w:id="15">
    <w:p w:rsidR="00B9025B" w:rsidRPr="00F43944" w:rsidRDefault="00B9025B" w:rsidP="003823FB">
      <w:pPr>
        <w:autoSpaceDE w:val="0"/>
        <w:autoSpaceDN w:val="0"/>
        <w:adjustRightInd w:val="0"/>
        <w:spacing w:line="240" w:lineRule="auto"/>
        <w:rPr>
          <w:sz w:val="22"/>
          <w:szCs w:val="22"/>
        </w:rPr>
      </w:pPr>
      <w:r w:rsidRPr="00F43944">
        <w:rPr>
          <w:rStyle w:val="FootnoteReference"/>
          <w:sz w:val="22"/>
          <w:szCs w:val="22"/>
        </w:rPr>
        <w:footnoteRef/>
      </w:r>
      <w:r w:rsidRPr="00F43944">
        <w:rPr>
          <w:sz w:val="22"/>
          <w:szCs w:val="22"/>
        </w:rPr>
        <w:t xml:space="preserve"> Permissive abstention under § 1334(c)(1) may be raised by the court sua sponte. </w:t>
      </w:r>
      <w:r w:rsidRPr="00F43944">
        <w:rPr>
          <w:i/>
          <w:sz w:val="22"/>
          <w:szCs w:val="22"/>
        </w:rPr>
        <w:t>Gober v. Terra+Corp. (In re Gober)</w:t>
      </w:r>
      <w:r w:rsidRPr="00F43944">
        <w:rPr>
          <w:sz w:val="22"/>
          <w:szCs w:val="22"/>
        </w:rPr>
        <w:t xml:space="preserve">, 100 F.3d 1195, 1207 (5th Cir. 1996); </w:t>
      </w:r>
      <w:r w:rsidRPr="00F43944">
        <w:rPr>
          <w:i/>
          <w:sz w:val="22"/>
          <w:szCs w:val="22"/>
        </w:rPr>
        <w:t>In re Pac. Gas &amp; Elec. Co.,</w:t>
      </w:r>
      <w:r w:rsidRPr="00F43944">
        <w:rPr>
          <w:sz w:val="22"/>
          <w:szCs w:val="22"/>
        </w:rPr>
        <w:t xml:space="preserve"> 279 B.R. 561, 567 (Bankr. N.D. Cal. 2002) (listing cases). The Bankruptcy Court also has authority to enter "final orders for discretionary abstention under 28 U.S.C.§ 1334(c)(1), even in non-core proceedings." </w:t>
      </w:r>
      <w:r w:rsidRPr="000F7927">
        <w:rPr>
          <w:i/>
          <w:sz w:val="22"/>
          <w:szCs w:val="22"/>
        </w:rPr>
        <w:t>See</w:t>
      </w:r>
      <w:r w:rsidRPr="00F43944">
        <w:rPr>
          <w:sz w:val="22"/>
          <w:szCs w:val="22"/>
        </w:rPr>
        <w:t xml:space="preserve"> </w:t>
      </w:r>
      <w:r w:rsidRPr="00F43944">
        <w:rPr>
          <w:i/>
          <w:sz w:val="22"/>
          <w:szCs w:val="22"/>
        </w:rPr>
        <w:t>Pineda v. Bank of America, N.A. (In re Pineda)</w:t>
      </w:r>
      <w:r w:rsidRPr="00F43944">
        <w:rPr>
          <w:sz w:val="22"/>
          <w:szCs w:val="22"/>
        </w:rPr>
        <w:t xml:space="preserve">, </w:t>
      </w:r>
      <w:r w:rsidRPr="002E2B8C">
        <w:rPr>
          <w:sz w:val="22"/>
          <w:szCs w:val="22"/>
        </w:rPr>
        <w:t>2013 WL 1749554</w:t>
      </w:r>
      <w:r>
        <w:rPr>
          <w:sz w:val="22"/>
          <w:szCs w:val="22"/>
        </w:rPr>
        <w:t xml:space="preserve">, </w:t>
      </w:r>
      <w:r w:rsidRPr="00F43944">
        <w:rPr>
          <w:sz w:val="22"/>
          <w:szCs w:val="22"/>
        </w:rPr>
        <w:t>at *28 n.10 (B.A.P. 9th Cir.</w:t>
      </w:r>
      <w:r>
        <w:rPr>
          <w:sz w:val="22"/>
          <w:szCs w:val="22"/>
        </w:rPr>
        <w:t xml:space="preserve"> April 23, 2013) (unpublished) (</w:t>
      </w:r>
      <w:r w:rsidRPr="00CD6D4D">
        <w:rPr>
          <w:sz w:val="22"/>
          <w:szCs w:val="22"/>
        </w:rPr>
        <w:t xml:space="preserve">citing </w:t>
      </w:r>
      <w:r w:rsidRPr="00F43944">
        <w:rPr>
          <w:i/>
          <w:sz w:val="22"/>
          <w:szCs w:val="22"/>
        </w:rPr>
        <w:t>Holtzclaw v. State Farm Fire and Cas</w:t>
      </w:r>
      <w:r>
        <w:rPr>
          <w:i/>
          <w:sz w:val="22"/>
          <w:szCs w:val="22"/>
        </w:rPr>
        <w:t>.</w:t>
      </w:r>
      <w:r w:rsidRPr="00F43944">
        <w:rPr>
          <w:i/>
          <w:sz w:val="22"/>
          <w:szCs w:val="22"/>
        </w:rPr>
        <w:t xml:space="preserve"> Co. (In re Holtzclaw)</w:t>
      </w:r>
      <w:r w:rsidRPr="00F43944">
        <w:rPr>
          <w:sz w:val="22"/>
          <w:szCs w:val="22"/>
        </w:rPr>
        <w:t>, 131 B.R. 162</w:t>
      </w:r>
      <w:r>
        <w:rPr>
          <w:sz w:val="22"/>
          <w:szCs w:val="22"/>
        </w:rPr>
        <w:t>,</w:t>
      </w:r>
      <w:r w:rsidRPr="00F43944">
        <w:rPr>
          <w:sz w:val="22"/>
          <w:szCs w:val="22"/>
        </w:rPr>
        <w:t xml:space="preserve"> 164 (E.D. Cal. 1991)</w:t>
      </w:r>
      <w:r>
        <w:rPr>
          <w:sz w:val="22"/>
          <w:szCs w:val="22"/>
        </w:rPr>
        <w:t xml:space="preserve"> </w:t>
      </w:r>
      <w:r w:rsidRPr="00F43944">
        <w:rPr>
          <w:sz w:val="22"/>
          <w:szCs w:val="22"/>
        </w:rPr>
        <w:t>(listing cases)</w:t>
      </w:r>
      <w:r>
        <w:rPr>
          <w:sz w:val="22"/>
          <w:szCs w:val="22"/>
        </w:rPr>
        <w:t>)</w:t>
      </w:r>
      <w:r w:rsidRPr="00F43944">
        <w:rPr>
          <w:sz w:val="22"/>
          <w:szCs w:val="22"/>
        </w:rPr>
        <w:t>.</w:t>
      </w:r>
    </w:p>
    <w:p w:rsidR="00B9025B" w:rsidRPr="00F43944" w:rsidRDefault="00B9025B" w:rsidP="00D5037B">
      <w:pPr>
        <w:pStyle w:val="FootnoteText"/>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25B" w:rsidRDefault="00B9025B">
    <w:pPr>
      <w:pStyle w:val="Header"/>
    </w:pPr>
    <w:r>
      <w:rPr>
        <w:noProof/>
        <w:sz w:val="20"/>
      </w:rPr>
      <mc:AlternateContent>
        <mc:Choice Requires="wps">
          <w:drawing>
            <wp:anchor distT="0" distB="0" distL="114299" distR="114299" simplePos="0" relativeHeight="251661312" behindDoc="0" locked="0" layoutInCell="1" allowOverlap="1" wp14:anchorId="2D0B9A80" wp14:editId="3132E07D">
              <wp:simplePos x="0" y="0"/>
              <wp:positionH relativeFrom="margin">
                <wp:posOffset>6126479</wp:posOffset>
              </wp:positionH>
              <wp:positionV relativeFrom="page">
                <wp:posOffset>0</wp:posOffset>
              </wp:positionV>
              <wp:extent cx="0" cy="10058400"/>
              <wp:effectExtent l="0" t="0" r="19050" b="1905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13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482.4pt,0" to="482.4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" strokeweight="1pt">
              <w10:wrap anchorx="margin" anchory="page"/>
            </v:line>
          </w:pict>
        </mc:Fallback>
      </mc:AlternateContent>
    </w:r>
    <w:r>
      <w:rPr>
        <w:noProof/>
        <w:sz w:val="20"/>
      </w:rPr>
      <mc:AlternateContent>
        <mc:Choice Requires="wps">
          <w:drawing>
            <wp:anchor distT="0" distB="0" distL="114300" distR="114300" simplePos="0" relativeHeight="251660288" behindDoc="0" locked="0" layoutInCell="1" allowOverlap="1" wp14:anchorId="07DAF9E6" wp14:editId="76B1A1E7">
              <wp:simplePos x="0" y="0"/>
              <wp:positionH relativeFrom="margin">
                <wp:posOffset>-638175</wp:posOffset>
              </wp:positionH>
              <wp:positionV relativeFrom="margin">
                <wp:posOffset>1905</wp:posOffset>
              </wp:positionV>
              <wp:extent cx="457200" cy="86868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25B" w:rsidRDefault="00B9025B">
                          <w:pPr>
                            <w:pStyle w:val="LFPldNumbersinMargin"/>
                          </w:pPr>
                          <w:r>
                            <w:t>1</w:t>
                          </w:r>
                        </w:p>
                        <w:p w:rsidR="00B9025B" w:rsidRDefault="00B9025B">
                          <w:pPr>
                            <w:pStyle w:val="LFPldNumbersinMargin"/>
                          </w:pPr>
                          <w:r>
                            <w:t>2</w:t>
                          </w:r>
                        </w:p>
                        <w:p w:rsidR="00B9025B" w:rsidRDefault="00B9025B">
                          <w:pPr>
                            <w:pStyle w:val="LFPldNumbersinMargin"/>
                          </w:pPr>
                          <w:r>
                            <w:t>3</w:t>
                          </w:r>
                        </w:p>
                        <w:p w:rsidR="00B9025B" w:rsidRDefault="00B9025B">
                          <w:pPr>
                            <w:pStyle w:val="LFPldNumbersinMargin"/>
                          </w:pPr>
                          <w:r>
                            <w:t>4</w:t>
                          </w:r>
                        </w:p>
                        <w:p w:rsidR="00B9025B" w:rsidRDefault="00B9025B">
                          <w:pPr>
                            <w:pStyle w:val="LFPldNumbersinMargin"/>
                          </w:pPr>
                          <w:r>
                            <w:t>5</w:t>
                          </w:r>
                        </w:p>
                        <w:p w:rsidR="00B9025B" w:rsidRDefault="00B9025B">
                          <w:pPr>
                            <w:pStyle w:val="LFPldNumbersinMargin"/>
                          </w:pPr>
                          <w:r>
                            <w:t>6</w:t>
                          </w:r>
                        </w:p>
                        <w:p w:rsidR="00B9025B" w:rsidRDefault="00B9025B">
                          <w:pPr>
                            <w:pStyle w:val="LFPldNumbersinMargin"/>
                          </w:pPr>
                          <w:r>
                            <w:t>7</w:t>
                          </w:r>
                        </w:p>
                        <w:p w:rsidR="00B9025B" w:rsidRDefault="00B9025B">
                          <w:pPr>
                            <w:pStyle w:val="LFPldNumbersinMargin"/>
                          </w:pPr>
                          <w:r>
                            <w:t>8</w:t>
                          </w:r>
                        </w:p>
                        <w:p w:rsidR="00B9025B" w:rsidRDefault="00B9025B">
                          <w:pPr>
                            <w:pStyle w:val="LFPldNumbersinMargin"/>
                          </w:pPr>
                          <w:r>
                            <w:t>9</w:t>
                          </w:r>
                        </w:p>
                        <w:p w:rsidR="00B9025B" w:rsidRDefault="00B9025B">
                          <w:pPr>
                            <w:pStyle w:val="LFPldNumbersinMargin"/>
                          </w:pPr>
                          <w:r>
                            <w:t>10</w:t>
                          </w:r>
                        </w:p>
                        <w:p w:rsidR="00B9025B" w:rsidRDefault="00B9025B">
                          <w:pPr>
                            <w:pStyle w:val="LFPldNumbersinMargin"/>
                          </w:pPr>
                          <w:r>
                            <w:t>11</w:t>
                          </w:r>
                        </w:p>
                        <w:p w:rsidR="00B9025B" w:rsidRDefault="00B9025B">
                          <w:pPr>
                            <w:pStyle w:val="LFPldNumbersinMargin"/>
                          </w:pPr>
                          <w:r>
                            <w:t>12</w:t>
                          </w:r>
                        </w:p>
                        <w:p w:rsidR="00B9025B" w:rsidRDefault="00B9025B">
                          <w:pPr>
                            <w:pStyle w:val="LFPldNumbersinMargin"/>
                          </w:pPr>
                          <w:r>
                            <w:t>13</w:t>
                          </w:r>
                        </w:p>
                        <w:p w:rsidR="00B9025B" w:rsidRDefault="00B9025B">
                          <w:pPr>
                            <w:pStyle w:val="LFPldNumbersinMargin"/>
                          </w:pPr>
                          <w:r>
                            <w:t>14</w:t>
                          </w:r>
                        </w:p>
                        <w:p w:rsidR="00B9025B" w:rsidRDefault="00B9025B">
                          <w:pPr>
                            <w:pStyle w:val="LFPldNumbersinMargin"/>
                          </w:pPr>
                          <w:r>
                            <w:t>15</w:t>
                          </w:r>
                        </w:p>
                        <w:p w:rsidR="00B9025B" w:rsidRDefault="00B9025B">
                          <w:pPr>
                            <w:pStyle w:val="LFPldNumbersinMargin"/>
                          </w:pPr>
                          <w:r>
                            <w:t>16</w:t>
                          </w:r>
                        </w:p>
                        <w:p w:rsidR="00B9025B" w:rsidRDefault="00B9025B">
                          <w:pPr>
                            <w:pStyle w:val="LFPldNumbersinMargin"/>
                          </w:pPr>
                          <w:r>
                            <w:t>17</w:t>
                          </w:r>
                        </w:p>
                        <w:p w:rsidR="00B9025B" w:rsidRDefault="00B9025B">
                          <w:pPr>
                            <w:pStyle w:val="LFPldNumbersinMargin"/>
                          </w:pPr>
                          <w:r>
                            <w:t>18</w:t>
                          </w:r>
                        </w:p>
                        <w:p w:rsidR="00B9025B" w:rsidRDefault="00B9025B">
                          <w:pPr>
                            <w:pStyle w:val="LFPldNumbersinMargin"/>
                          </w:pPr>
                          <w:r>
                            <w:t>19</w:t>
                          </w:r>
                        </w:p>
                        <w:p w:rsidR="00B9025B" w:rsidRDefault="00B9025B">
                          <w:pPr>
                            <w:pStyle w:val="LFPldNumbersinMargin"/>
                          </w:pPr>
                          <w:r>
                            <w:t>20</w:t>
                          </w:r>
                        </w:p>
                        <w:p w:rsidR="00B9025B" w:rsidRDefault="00B9025B">
                          <w:pPr>
                            <w:pStyle w:val="LFPldNumbersinMargin"/>
                          </w:pPr>
                          <w:r>
                            <w:t>21</w:t>
                          </w:r>
                        </w:p>
                        <w:p w:rsidR="00B9025B" w:rsidRDefault="00B9025B">
                          <w:pPr>
                            <w:pStyle w:val="LFPldNumbersinMargin"/>
                          </w:pPr>
                          <w:r>
                            <w:t>22</w:t>
                          </w:r>
                        </w:p>
                        <w:p w:rsidR="00B9025B" w:rsidRDefault="00B9025B">
                          <w:pPr>
                            <w:pStyle w:val="LFPldNumbersinMargin"/>
                          </w:pPr>
                          <w:r>
                            <w:t>23</w:t>
                          </w:r>
                        </w:p>
                        <w:p w:rsidR="00B9025B" w:rsidRDefault="00B9025B">
                          <w:pPr>
                            <w:pStyle w:val="LFPldNumbersinMargin"/>
                          </w:pPr>
                          <w:r>
                            <w:t>24</w:t>
                          </w:r>
                        </w:p>
                        <w:p w:rsidR="00B9025B" w:rsidRDefault="00B9025B">
                          <w:pPr>
                            <w:pStyle w:val="LFPldNumbersinMargin"/>
                          </w:pPr>
                          <w:r>
                            <w:t>25</w:t>
                          </w:r>
                        </w:p>
                        <w:p w:rsidR="00B9025B" w:rsidRDefault="00B9025B">
                          <w:pPr>
                            <w:pStyle w:val="LFPldNumbersinMargin"/>
                          </w:pPr>
                          <w:r>
                            <w:t>26</w:t>
                          </w:r>
                        </w:p>
                        <w:p w:rsidR="00B9025B" w:rsidRDefault="00B9025B">
                          <w:pPr>
                            <w:pStyle w:val="LFPldNumbersinMargin"/>
                          </w:pPr>
                          <w:r>
                            <w:t>27</w:t>
                          </w:r>
                        </w:p>
                        <w:p w:rsidR="00B9025B" w:rsidRDefault="00B9025B">
                          <w:pPr>
                            <w:pStyle w:val="LFPldNumbersinMargin"/>
                          </w:pPr>
                          <w:r>
                            <w:t>28</w:t>
                          </w:r>
                        </w:p>
                        <w:p w:rsidR="00B9025B" w:rsidRDefault="00B9025B">
                          <w:pPr>
                            <w:pStyle w:val="LFPldNumbersinMargin"/>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50.25pt;margin-top:.15pt;width:36pt;height:6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" stroked="f">
              <v:textbox inset="0,0,0,0">
                <w:txbxContent>
                  <w:p w:rsidR="00B9025B" w:rsidRDefault="00B9025B">
                    <w:pPr>
                      <w:pStyle w:val="LFPldNumbersinMargin"/>
                    </w:pPr>
                    <w:r>
                      <w:t>1</w:t>
                    </w:r>
                  </w:p>
                  <w:p w:rsidR="00B9025B" w:rsidRDefault="00B9025B">
                    <w:pPr>
                      <w:pStyle w:val="LFPldNumbersinMargin"/>
                    </w:pPr>
                    <w:r>
                      <w:t>2</w:t>
                    </w:r>
                  </w:p>
                  <w:p w:rsidR="00B9025B" w:rsidRDefault="00B9025B">
                    <w:pPr>
                      <w:pStyle w:val="LFPldNumbersinMargin"/>
                    </w:pPr>
                    <w:r>
                      <w:t>3</w:t>
                    </w:r>
                  </w:p>
                  <w:p w:rsidR="00B9025B" w:rsidRDefault="00B9025B">
                    <w:pPr>
                      <w:pStyle w:val="LFPldNumbersinMargin"/>
                    </w:pPr>
                    <w:r>
                      <w:t>4</w:t>
                    </w:r>
                  </w:p>
                  <w:p w:rsidR="00B9025B" w:rsidRDefault="00B9025B">
                    <w:pPr>
                      <w:pStyle w:val="LFPldNumbersinMargin"/>
                    </w:pPr>
                    <w:r>
                      <w:t>5</w:t>
                    </w:r>
                  </w:p>
                  <w:p w:rsidR="00B9025B" w:rsidRDefault="00B9025B">
                    <w:pPr>
                      <w:pStyle w:val="LFPldNumbersinMargin"/>
                    </w:pPr>
                    <w:r>
                      <w:t>6</w:t>
                    </w:r>
                  </w:p>
                  <w:p w:rsidR="00B9025B" w:rsidRDefault="00B9025B">
                    <w:pPr>
                      <w:pStyle w:val="LFPldNumbersinMargin"/>
                    </w:pPr>
                    <w:r>
                      <w:t>7</w:t>
                    </w:r>
                  </w:p>
                  <w:p w:rsidR="00B9025B" w:rsidRDefault="00B9025B">
                    <w:pPr>
                      <w:pStyle w:val="LFPldNumbersinMargin"/>
                    </w:pPr>
                    <w:r>
                      <w:t>8</w:t>
                    </w:r>
                  </w:p>
                  <w:p w:rsidR="00B9025B" w:rsidRDefault="00B9025B">
                    <w:pPr>
                      <w:pStyle w:val="LFPldNumbersinMargin"/>
                    </w:pPr>
                    <w:r>
                      <w:t>9</w:t>
                    </w:r>
                  </w:p>
                  <w:p w:rsidR="00B9025B" w:rsidRDefault="00B9025B">
                    <w:pPr>
                      <w:pStyle w:val="LFPldNumbersinMargin"/>
                    </w:pPr>
                    <w:r>
                      <w:t>10</w:t>
                    </w:r>
                  </w:p>
                  <w:p w:rsidR="00B9025B" w:rsidRDefault="00B9025B">
                    <w:pPr>
                      <w:pStyle w:val="LFPldNumbersinMargin"/>
                    </w:pPr>
                    <w:r>
                      <w:t>11</w:t>
                    </w:r>
                  </w:p>
                  <w:p w:rsidR="00B9025B" w:rsidRDefault="00B9025B">
                    <w:pPr>
                      <w:pStyle w:val="LFPldNumbersinMargin"/>
                    </w:pPr>
                    <w:r>
                      <w:t>12</w:t>
                    </w:r>
                  </w:p>
                  <w:p w:rsidR="00B9025B" w:rsidRDefault="00B9025B">
                    <w:pPr>
                      <w:pStyle w:val="LFPldNumbersinMargin"/>
                    </w:pPr>
                    <w:r>
                      <w:t>13</w:t>
                    </w:r>
                  </w:p>
                  <w:p w:rsidR="00B9025B" w:rsidRDefault="00B9025B">
                    <w:pPr>
                      <w:pStyle w:val="LFPldNumbersinMargin"/>
                    </w:pPr>
                    <w:r>
                      <w:t>14</w:t>
                    </w:r>
                  </w:p>
                  <w:p w:rsidR="00B9025B" w:rsidRDefault="00B9025B">
                    <w:pPr>
                      <w:pStyle w:val="LFPldNumbersinMargin"/>
                    </w:pPr>
                    <w:r>
                      <w:t>15</w:t>
                    </w:r>
                  </w:p>
                  <w:p w:rsidR="00B9025B" w:rsidRDefault="00B9025B">
                    <w:pPr>
                      <w:pStyle w:val="LFPldNumbersinMargin"/>
                    </w:pPr>
                    <w:r>
                      <w:t>16</w:t>
                    </w:r>
                  </w:p>
                  <w:p w:rsidR="00B9025B" w:rsidRDefault="00B9025B">
                    <w:pPr>
                      <w:pStyle w:val="LFPldNumbersinMargin"/>
                    </w:pPr>
                    <w:r>
                      <w:t>17</w:t>
                    </w:r>
                  </w:p>
                  <w:p w:rsidR="00B9025B" w:rsidRDefault="00B9025B">
                    <w:pPr>
                      <w:pStyle w:val="LFPldNumbersinMargin"/>
                    </w:pPr>
                    <w:r>
                      <w:t>18</w:t>
                    </w:r>
                  </w:p>
                  <w:p w:rsidR="00B9025B" w:rsidRDefault="00B9025B">
                    <w:pPr>
                      <w:pStyle w:val="LFPldNumbersinMargin"/>
                    </w:pPr>
                    <w:r>
                      <w:t>19</w:t>
                    </w:r>
                  </w:p>
                  <w:p w:rsidR="00B9025B" w:rsidRDefault="00B9025B">
                    <w:pPr>
                      <w:pStyle w:val="LFPldNumbersinMargin"/>
                    </w:pPr>
                    <w:r>
                      <w:t>20</w:t>
                    </w:r>
                  </w:p>
                  <w:p w:rsidR="00B9025B" w:rsidRDefault="00B9025B">
                    <w:pPr>
                      <w:pStyle w:val="LFPldNumbersinMargin"/>
                    </w:pPr>
                    <w:r>
                      <w:t>21</w:t>
                    </w:r>
                  </w:p>
                  <w:p w:rsidR="00B9025B" w:rsidRDefault="00B9025B">
                    <w:pPr>
                      <w:pStyle w:val="LFPldNumbersinMargin"/>
                    </w:pPr>
                    <w:r>
                      <w:t>22</w:t>
                    </w:r>
                  </w:p>
                  <w:p w:rsidR="00B9025B" w:rsidRDefault="00B9025B">
                    <w:pPr>
                      <w:pStyle w:val="LFPldNumbersinMargin"/>
                    </w:pPr>
                    <w:r>
                      <w:t>23</w:t>
                    </w:r>
                  </w:p>
                  <w:p w:rsidR="00B9025B" w:rsidRDefault="00B9025B">
                    <w:pPr>
                      <w:pStyle w:val="LFPldNumbersinMargin"/>
                    </w:pPr>
                    <w:r>
                      <w:t>24</w:t>
                    </w:r>
                  </w:p>
                  <w:p w:rsidR="00B9025B" w:rsidRDefault="00B9025B">
                    <w:pPr>
                      <w:pStyle w:val="LFPldNumbersinMargin"/>
                    </w:pPr>
                    <w:r>
                      <w:t>25</w:t>
                    </w:r>
                  </w:p>
                  <w:p w:rsidR="00B9025B" w:rsidRDefault="00B9025B">
                    <w:pPr>
                      <w:pStyle w:val="LFPldNumbersinMargin"/>
                    </w:pPr>
                    <w:r>
                      <w:t>26</w:t>
                    </w:r>
                  </w:p>
                  <w:p w:rsidR="00B9025B" w:rsidRDefault="00B9025B">
                    <w:pPr>
                      <w:pStyle w:val="LFPldNumbersinMargin"/>
                    </w:pPr>
                    <w:r>
                      <w:t>27</w:t>
                    </w:r>
                  </w:p>
                  <w:p w:rsidR="00B9025B" w:rsidRDefault="00B9025B">
                    <w:pPr>
                      <w:pStyle w:val="LFPldNumbersinMargin"/>
                    </w:pPr>
                    <w:r>
                      <w:t>28</w:t>
                    </w:r>
                  </w:p>
                  <w:p w:rsidR="00B9025B" w:rsidRDefault="00B9025B">
                    <w:pPr>
                      <w:pStyle w:val="LFPldNumbersinMargin"/>
                    </w:pPr>
                  </w:p>
                </w:txbxContent>
              </v:textbox>
              <w10:wrap anchorx="margin" anchory="margin"/>
            </v:shape>
          </w:pict>
        </mc:Fallback>
      </mc:AlternateContent>
    </w:r>
    <w:r>
      <w:rPr>
        <w:noProof/>
        <w:sz w:val="20"/>
      </w:rPr>
      <mc:AlternateContent>
        <mc:Choice Requires="wps">
          <w:drawing>
            <wp:anchor distT="0" distB="0" distL="114299" distR="114299" simplePos="0" relativeHeight="251658240" behindDoc="0" locked="0" layoutInCell="1" allowOverlap="1" wp14:anchorId="179D0159" wp14:editId="7D49727E">
              <wp:simplePos x="0" y="0"/>
              <wp:positionH relativeFrom="margin">
                <wp:posOffset>-54611</wp:posOffset>
              </wp:positionH>
              <wp:positionV relativeFrom="page">
                <wp:posOffset>31750</wp:posOffset>
              </wp:positionV>
              <wp:extent cx="0" cy="10058400"/>
              <wp:effectExtent l="0" t="0" r="19050"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4.3pt,2.5pt" to="-4.3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QFEgIAACk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">
              <w10:wrap anchorx="margin" anchory="page"/>
            </v:line>
          </w:pict>
        </mc:Fallback>
      </mc:AlternateContent>
    </w:r>
    <w:r>
      <w:rPr>
        <w:noProof/>
        <w:sz w:val="20"/>
      </w:rPr>
      <mc:AlternateContent>
        <mc:Choice Requires="wps">
          <w:drawing>
            <wp:anchor distT="0" distB="0" distL="114299" distR="114299" simplePos="0" relativeHeight="251659264" behindDoc="0" locked="0" layoutInCell="1" allowOverlap="1" wp14:anchorId="05BA50B3" wp14:editId="57B69F58">
              <wp:simplePos x="0" y="0"/>
              <wp:positionH relativeFrom="margin">
                <wp:posOffset>-100331</wp:posOffset>
              </wp:positionH>
              <wp:positionV relativeFrom="page">
                <wp:posOffset>21590</wp:posOffset>
              </wp:positionV>
              <wp:extent cx="0" cy="10058400"/>
              <wp:effectExtent l="0" t="0" r="1905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9pt,1.7pt" to="-7.9pt,7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HAyEgIAACk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">
              <w10:wrap anchorx="margin"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25B" w:rsidRDefault="00B9025B">
    <w:pPr>
      <w:pStyle w:val="Header"/>
    </w:pPr>
    <w:r>
      <w:rPr>
        <w:noProof/>
      </w:rPr>
      <mc:AlternateContent>
        <mc:Choice Requires="wps">
          <w:drawing>
            <wp:anchor distT="0" distB="0" distL="114300" distR="114300" simplePos="0" relativeHeight="251657216" behindDoc="0" locked="0" layoutInCell="0" allowOverlap="1" wp14:anchorId="140BD547" wp14:editId="2501C442">
              <wp:simplePos x="0" y="0"/>
              <wp:positionH relativeFrom="margin">
                <wp:posOffset>-640080</wp:posOffset>
              </wp:positionH>
              <wp:positionV relativeFrom="margin">
                <wp:posOffset>0</wp:posOffset>
              </wp:positionV>
              <wp:extent cx="457200" cy="8686800"/>
              <wp:effectExtent l="0" t="0" r="0"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25B" w:rsidRDefault="00B9025B">
                          <w:pPr>
                            <w:pStyle w:val="LFPldNumbersinMargin"/>
                          </w:pPr>
                          <w:r>
                            <w:t>1</w:t>
                          </w:r>
                        </w:p>
                        <w:p w:rsidR="00B9025B" w:rsidRDefault="00B9025B">
                          <w:pPr>
                            <w:pStyle w:val="LFPldNumbersinMargin"/>
                          </w:pPr>
                          <w:r>
                            <w:t>2</w:t>
                          </w:r>
                        </w:p>
                        <w:p w:rsidR="00B9025B" w:rsidRDefault="00B9025B">
                          <w:pPr>
                            <w:pStyle w:val="LFPldNumbersinMargin"/>
                          </w:pPr>
                          <w:r>
                            <w:t>3</w:t>
                          </w:r>
                        </w:p>
                        <w:p w:rsidR="00B9025B" w:rsidRDefault="00B9025B">
                          <w:pPr>
                            <w:pStyle w:val="LFPldNumbersinMargin"/>
                          </w:pPr>
                          <w:r>
                            <w:t>4</w:t>
                          </w:r>
                        </w:p>
                        <w:p w:rsidR="00B9025B" w:rsidRDefault="00B9025B">
                          <w:pPr>
                            <w:pStyle w:val="LFPldNumbersinMargin"/>
                          </w:pPr>
                          <w:r>
                            <w:t>5</w:t>
                          </w:r>
                        </w:p>
                        <w:p w:rsidR="00B9025B" w:rsidRDefault="00B9025B">
                          <w:pPr>
                            <w:pStyle w:val="LFPldNumbersinMargin"/>
                          </w:pPr>
                          <w:r>
                            <w:t>6</w:t>
                          </w:r>
                        </w:p>
                        <w:p w:rsidR="00B9025B" w:rsidRDefault="00B9025B">
                          <w:pPr>
                            <w:pStyle w:val="LFPldNumbersinMargin"/>
                          </w:pPr>
                          <w:r>
                            <w:t>7</w:t>
                          </w:r>
                        </w:p>
                        <w:p w:rsidR="00B9025B" w:rsidRDefault="00B9025B">
                          <w:pPr>
                            <w:pStyle w:val="LFPldNumbersinMargin"/>
                          </w:pPr>
                          <w:r>
                            <w:t>8</w:t>
                          </w:r>
                        </w:p>
                        <w:p w:rsidR="00B9025B" w:rsidRDefault="00B9025B">
                          <w:pPr>
                            <w:pStyle w:val="LFPldNumbersinMargin"/>
                          </w:pPr>
                          <w:r>
                            <w:t>9</w:t>
                          </w:r>
                        </w:p>
                        <w:p w:rsidR="00B9025B" w:rsidRDefault="00B9025B">
                          <w:pPr>
                            <w:pStyle w:val="LFPldNumbersinMargin"/>
                          </w:pPr>
                          <w:r>
                            <w:t>10</w:t>
                          </w:r>
                        </w:p>
                        <w:p w:rsidR="00B9025B" w:rsidRDefault="00B9025B">
                          <w:pPr>
                            <w:pStyle w:val="LFPldNumbersinMargin"/>
                          </w:pPr>
                          <w:r>
                            <w:t>11</w:t>
                          </w:r>
                        </w:p>
                        <w:p w:rsidR="00B9025B" w:rsidRDefault="00B9025B">
                          <w:pPr>
                            <w:pStyle w:val="LFPldNumbersinMargin"/>
                          </w:pPr>
                          <w:r>
                            <w:t>12</w:t>
                          </w:r>
                        </w:p>
                        <w:p w:rsidR="00B9025B" w:rsidRDefault="00B9025B">
                          <w:pPr>
                            <w:pStyle w:val="LFPldNumbersinMargin"/>
                          </w:pPr>
                          <w:r>
                            <w:t>13</w:t>
                          </w:r>
                        </w:p>
                        <w:p w:rsidR="00B9025B" w:rsidRDefault="00B9025B">
                          <w:pPr>
                            <w:pStyle w:val="LFPldNumbersinMargin"/>
                          </w:pPr>
                          <w:r>
                            <w:t>14</w:t>
                          </w:r>
                        </w:p>
                        <w:p w:rsidR="00B9025B" w:rsidRDefault="00B9025B">
                          <w:pPr>
                            <w:pStyle w:val="LFPldNumbersinMargin"/>
                          </w:pPr>
                          <w:r>
                            <w:t>15</w:t>
                          </w:r>
                        </w:p>
                        <w:p w:rsidR="00B9025B" w:rsidRDefault="00B9025B">
                          <w:pPr>
                            <w:pStyle w:val="LFPldNumbersinMargin"/>
                          </w:pPr>
                          <w:r>
                            <w:t>16</w:t>
                          </w:r>
                        </w:p>
                        <w:p w:rsidR="00B9025B" w:rsidRDefault="00B9025B">
                          <w:pPr>
                            <w:pStyle w:val="LFPldNumbersinMargin"/>
                          </w:pPr>
                          <w:r>
                            <w:t>17</w:t>
                          </w:r>
                        </w:p>
                        <w:p w:rsidR="00B9025B" w:rsidRDefault="00B9025B">
                          <w:pPr>
                            <w:pStyle w:val="LFPldNumbersinMargin"/>
                          </w:pPr>
                          <w:r>
                            <w:t>18</w:t>
                          </w:r>
                        </w:p>
                        <w:p w:rsidR="00B9025B" w:rsidRDefault="00B9025B">
                          <w:pPr>
                            <w:pStyle w:val="LFPldNumbersinMargin"/>
                          </w:pPr>
                          <w:r>
                            <w:t>19</w:t>
                          </w:r>
                        </w:p>
                        <w:p w:rsidR="00B9025B" w:rsidRDefault="00B9025B">
                          <w:pPr>
                            <w:pStyle w:val="LFPldNumbersinMargin"/>
                          </w:pPr>
                          <w:r>
                            <w:t>20</w:t>
                          </w:r>
                        </w:p>
                        <w:p w:rsidR="00B9025B" w:rsidRDefault="00B9025B">
                          <w:pPr>
                            <w:pStyle w:val="LFPldNumbersinMargin"/>
                          </w:pPr>
                          <w:r>
                            <w:t>21</w:t>
                          </w:r>
                        </w:p>
                        <w:p w:rsidR="00B9025B" w:rsidRDefault="00B9025B">
                          <w:pPr>
                            <w:pStyle w:val="LFPldNumbersinMargin"/>
                          </w:pPr>
                          <w:r>
                            <w:t>22</w:t>
                          </w:r>
                        </w:p>
                        <w:p w:rsidR="00B9025B" w:rsidRDefault="00B9025B">
                          <w:pPr>
                            <w:pStyle w:val="LFPldNumbersinMargin"/>
                          </w:pPr>
                          <w:r>
                            <w:t>23</w:t>
                          </w:r>
                        </w:p>
                        <w:p w:rsidR="00B9025B" w:rsidRDefault="00B9025B">
                          <w:pPr>
                            <w:pStyle w:val="LFPldNumbersinMargin"/>
                          </w:pPr>
                          <w:r>
                            <w:t>24</w:t>
                          </w:r>
                        </w:p>
                        <w:p w:rsidR="00B9025B" w:rsidRDefault="00B9025B">
                          <w:pPr>
                            <w:pStyle w:val="LFPldNumbersinMargin"/>
                          </w:pPr>
                          <w:r>
                            <w:t>25</w:t>
                          </w:r>
                        </w:p>
                        <w:p w:rsidR="00B9025B" w:rsidRDefault="00B9025B">
                          <w:pPr>
                            <w:pStyle w:val="LFPldNumbersinMargin"/>
                          </w:pPr>
                          <w:r>
                            <w:t>26</w:t>
                          </w:r>
                        </w:p>
                        <w:p w:rsidR="00B9025B" w:rsidRDefault="00B9025B">
                          <w:pPr>
                            <w:pStyle w:val="LFPldNumbersinMargin"/>
                          </w:pPr>
                          <w:r>
                            <w:t>27</w:t>
                          </w:r>
                        </w:p>
                        <w:p w:rsidR="00B9025B" w:rsidRDefault="00B9025B">
                          <w:pPr>
                            <w:pStyle w:val="LFPldNumbersinMargin"/>
                          </w:pPr>
                          <w:r>
                            <w:t>28</w:t>
                          </w:r>
                        </w:p>
                        <w:p w:rsidR="00B9025B" w:rsidRDefault="00B9025B">
                          <w:pPr>
                            <w:pStyle w:val="LFPldNumbersinMargin"/>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7" type="#_x0000_t202" style="position:absolute;left:0;text-align:left;margin-left:-50.4pt;margin-top:0;width:36pt;height:6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8qgcwIAAPs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W68qgcwIAAPsEAAAOAAAAAAAA&#10;AAAAAAAAAC4CAABkcnMvZTJvRG9jLnhtbFBLAQItABQABgAIAAAAIQArwDfk3gAAAAoBAAAPAAAA&#10;AAAAAAAAAAAAAM0EAABkcnMvZG93bnJldi54bWxQSwUGAAAAAAQABADzAAAA2AUAAAAA&#10;" o:allowincell="f" stroked="f">
              <v:textbox inset="0,0,0,0">
                <w:txbxContent>
                  <w:p w:rsidR="00B9025B" w:rsidRDefault="00B9025B">
                    <w:pPr>
                      <w:pStyle w:val="LFPldNumbersinMargin"/>
                    </w:pPr>
                    <w:r>
                      <w:t>1</w:t>
                    </w:r>
                  </w:p>
                  <w:p w:rsidR="00B9025B" w:rsidRDefault="00B9025B">
                    <w:pPr>
                      <w:pStyle w:val="LFPldNumbersinMargin"/>
                    </w:pPr>
                    <w:r>
                      <w:t>2</w:t>
                    </w:r>
                  </w:p>
                  <w:p w:rsidR="00B9025B" w:rsidRDefault="00B9025B">
                    <w:pPr>
                      <w:pStyle w:val="LFPldNumbersinMargin"/>
                    </w:pPr>
                    <w:r>
                      <w:t>3</w:t>
                    </w:r>
                  </w:p>
                  <w:p w:rsidR="00B9025B" w:rsidRDefault="00B9025B">
                    <w:pPr>
                      <w:pStyle w:val="LFPldNumbersinMargin"/>
                    </w:pPr>
                    <w:r>
                      <w:t>4</w:t>
                    </w:r>
                  </w:p>
                  <w:p w:rsidR="00B9025B" w:rsidRDefault="00B9025B">
                    <w:pPr>
                      <w:pStyle w:val="LFPldNumbersinMargin"/>
                    </w:pPr>
                    <w:r>
                      <w:t>5</w:t>
                    </w:r>
                  </w:p>
                  <w:p w:rsidR="00B9025B" w:rsidRDefault="00B9025B">
                    <w:pPr>
                      <w:pStyle w:val="LFPldNumbersinMargin"/>
                    </w:pPr>
                    <w:r>
                      <w:t>6</w:t>
                    </w:r>
                  </w:p>
                  <w:p w:rsidR="00B9025B" w:rsidRDefault="00B9025B">
                    <w:pPr>
                      <w:pStyle w:val="LFPldNumbersinMargin"/>
                    </w:pPr>
                    <w:r>
                      <w:t>7</w:t>
                    </w:r>
                  </w:p>
                  <w:p w:rsidR="00B9025B" w:rsidRDefault="00B9025B">
                    <w:pPr>
                      <w:pStyle w:val="LFPldNumbersinMargin"/>
                    </w:pPr>
                    <w:r>
                      <w:t>8</w:t>
                    </w:r>
                  </w:p>
                  <w:p w:rsidR="00B9025B" w:rsidRDefault="00B9025B">
                    <w:pPr>
                      <w:pStyle w:val="LFPldNumbersinMargin"/>
                    </w:pPr>
                    <w:r>
                      <w:t>9</w:t>
                    </w:r>
                  </w:p>
                  <w:p w:rsidR="00B9025B" w:rsidRDefault="00B9025B">
                    <w:pPr>
                      <w:pStyle w:val="LFPldNumbersinMargin"/>
                    </w:pPr>
                    <w:r>
                      <w:t>10</w:t>
                    </w:r>
                  </w:p>
                  <w:p w:rsidR="00B9025B" w:rsidRDefault="00B9025B">
                    <w:pPr>
                      <w:pStyle w:val="LFPldNumbersinMargin"/>
                    </w:pPr>
                    <w:r>
                      <w:t>11</w:t>
                    </w:r>
                  </w:p>
                  <w:p w:rsidR="00B9025B" w:rsidRDefault="00B9025B">
                    <w:pPr>
                      <w:pStyle w:val="LFPldNumbersinMargin"/>
                    </w:pPr>
                    <w:r>
                      <w:t>12</w:t>
                    </w:r>
                  </w:p>
                  <w:p w:rsidR="00B9025B" w:rsidRDefault="00B9025B">
                    <w:pPr>
                      <w:pStyle w:val="LFPldNumbersinMargin"/>
                    </w:pPr>
                    <w:r>
                      <w:t>13</w:t>
                    </w:r>
                  </w:p>
                  <w:p w:rsidR="00B9025B" w:rsidRDefault="00B9025B">
                    <w:pPr>
                      <w:pStyle w:val="LFPldNumbersinMargin"/>
                    </w:pPr>
                    <w:r>
                      <w:t>14</w:t>
                    </w:r>
                  </w:p>
                  <w:p w:rsidR="00B9025B" w:rsidRDefault="00B9025B">
                    <w:pPr>
                      <w:pStyle w:val="LFPldNumbersinMargin"/>
                    </w:pPr>
                    <w:r>
                      <w:t>15</w:t>
                    </w:r>
                  </w:p>
                  <w:p w:rsidR="00B9025B" w:rsidRDefault="00B9025B">
                    <w:pPr>
                      <w:pStyle w:val="LFPldNumbersinMargin"/>
                    </w:pPr>
                    <w:r>
                      <w:t>16</w:t>
                    </w:r>
                  </w:p>
                  <w:p w:rsidR="00B9025B" w:rsidRDefault="00B9025B">
                    <w:pPr>
                      <w:pStyle w:val="LFPldNumbersinMargin"/>
                    </w:pPr>
                    <w:r>
                      <w:t>17</w:t>
                    </w:r>
                  </w:p>
                  <w:p w:rsidR="00B9025B" w:rsidRDefault="00B9025B">
                    <w:pPr>
                      <w:pStyle w:val="LFPldNumbersinMargin"/>
                    </w:pPr>
                    <w:r>
                      <w:t>18</w:t>
                    </w:r>
                  </w:p>
                  <w:p w:rsidR="00B9025B" w:rsidRDefault="00B9025B">
                    <w:pPr>
                      <w:pStyle w:val="LFPldNumbersinMargin"/>
                    </w:pPr>
                    <w:r>
                      <w:t>19</w:t>
                    </w:r>
                  </w:p>
                  <w:p w:rsidR="00B9025B" w:rsidRDefault="00B9025B">
                    <w:pPr>
                      <w:pStyle w:val="LFPldNumbersinMargin"/>
                    </w:pPr>
                    <w:r>
                      <w:t>20</w:t>
                    </w:r>
                  </w:p>
                  <w:p w:rsidR="00B9025B" w:rsidRDefault="00B9025B">
                    <w:pPr>
                      <w:pStyle w:val="LFPldNumbersinMargin"/>
                    </w:pPr>
                    <w:r>
                      <w:t>21</w:t>
                    </w:r>
                  </w:p>
                  <w:p w:rsidR="00B9025B" w:rsidRDefault="00B9025B">
                    <w:pPr>
                      <w:pStyle w:val="LFPldNumbersinMargin"/>
                    </w:pPr>
                    <w:r>
                      <w:t>22</w:t>
                    </w:r>
                  </w:p>
                  <w:p w:rsidR="00B9025B" w:rsidRDefault="00B9025B">
                    <w:pPr>
                      <w:pStyle w:val="LFPldNumbersinMargin"/>
                    </w:pPr>
                    <w:r>
                      <w:t>23</w:t>
                    </w:r>
                  </w:p>
                  <w:p w:rsidR="00B9025B" w:rsidRDefault="00B9025B">
                    <w:pPr>
                      <w:pStyle w:val="LFPldNumbersinMargin"/>
                    </w:pPr>
                    <w:r>
                      <w:t>24</w:t>
                    </w:r>
                  </w:p>
                  <w:p w:rsidR="00B9025B" w:rsidRDefault="00B9025B">
                    <w:pPr>
                      <w:pStyle w:val="LFPldNumbersinMargin"/>
                    </w:pPr>
                    <w:r>
                      <w:t>25</w:t>
                    </w:r>
                  </w:p>
                  <w:p w:rsidR="00B9025B" w:rsidRDefault="00B9025B">
                    <w:pPr>
                      <w:pStyle w:val="LFPldNumbersinMargin"/>
                    </w:pPr>
                    <w:r>
                      <w:t>26</w:t>
                    </w:r>
                  </w:p>
                  <w:p w:rsidR="00B9025B" w:rsidRDefault="00B9025B">
                    <w:pPr>
                      <w:pStyle w:val="LFPldNumbersinMargin"/>
                    </w:pPr>
                    <w:r>
                      <w:t>27</w:t>
                    </w:r>
                  </w:p>
                  <w:p w:rsidR="00B9025B" w:rsidRDefault="00B9025B">
                    <w:pPr>
                      <w:pStyle w:val="LFPldNumbersinMargin"/>
                    </w:pPr>
                    <w:r>
                      <w:t>28</w:t>
                    </w:r>
                  </w:p>
                  <w:p w:rsidR="00B9025B" w:rsidRDefault="00B9025B">
                    <w:pPr>
                      <w:pStyle w:val="LFPldNumbersinMargin"/>
                    </w:pPr>
                  </w:p>
                </w:txbxContent>
              </v:textbox>
              <w10:wrap anchorx="margin" anchory="margin"/>
            </v:shape>
          </w:pict>
        </mc:Fallback>
      </mc:AlternateContent>
    </w:r>
    <w:r>
      <w:rPr>
        <w:noProof/>
      </w:rPr>
      <mc:AlternateContent>
        <mc:Choice Requires="wps">
          <w:drawing>
            <wp:anchor distT="0" distB="0" distL="114299" distR="114299" simplePos="0" relativeHeight="251656192" behindDoc="0" locked="0" layoutInCell="0" allowOverlap="1" wp14:anchorId="4FD2EC0C" wp14:editId="69B65A8E">
              <wp:simplePos x="0" y="0"/>
              <wp:positionH relativeFrom="margin">
                <wp:posOffset>6126479</wp:posOffset>
              </wp:positionH>
              <wp:positionV relativeFrom="page">
                <wp:posOffset>0</wp:posOffset>
              </wp:positionV>
              <wp:extent cx="0" cy="10058400"/>
              <wp:effectExtent l="0" t="0" r="19050" b="19050"/>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561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482.4pt,0" to="482.4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" o:allowincell="f">
              <w10:wrap anchorx="margin" anchory="page"/>
            </v:line>
          </w:pict>
        </mc:Fallback>
      </mc:AlternateContent>
    </w:r>
    <w:r>
      <w:rPr>
        <w:noProof/>
      </w:rPr>
      <mc:AlternateContent>
        <mc:Choice Requires="wps">
          <w:drawing>
            <wp:anchor distT="0" distB="0" distL="114299" distR="114299" simplePos="0" relativeHeight="251655168" behindDoc="0" locked="0" layoutInCell="0" allowOverlap="1" wp14:anchorId="13BCDD65" wp14:editId="4F861D12">
              <wp:simplePos x="0" y="0"/>
              <wp:positionH relativeFrom="margin">
                <wp:posOffset>-91441</wp:posOffset>
              </wp:positionH>
              <wp:positionV relativeFrom="page">
                <wp:posOffset>0</wp:posOffset>
              </wp:positionV>
              <wp:extent cx="0" cy="10058400"/>
              <wp:effectExtent l="0" t="0" r="19050" b="1905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5516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o:allowincell="f">
              <w10:wrap anchorx="margin" anchory="page"/>
            </v:line>
          </w:pict>
        </mc:Fallback>
      </mc:AlternateContent>
    </w:r>
    <w:r>
      <w:rPr>
        <w:noProof/>
      </w:rPr>
      <mc:AlternateContent>
        <mc:Choice Requires="wps">
          <w:drawing>
            <wp:anchor distT="0" distB="0" distL="114299" distR="114299" simplePos="0" relativeHeight="251654144" behindDoc="0" locked="0" layoutInCell="0" allowOverlap="1" wp14:anchorId="671609E9" wp14:editId="53872FB2">
              <wp:simplePos x="0" y="0"/>
              <wp:positionH relativeFrom="margin">
                <wp:posOffset>-45721</wp:posOffset>
              </wp:positionH>
              <wp:positionV relativeFrom="page">
                <wp:posOffset>0</wp:posOffset>
              </wp:positionV>
              <wp:extent cx="0" cy="10058400"/>
              <wp:effectExtent l="0" t="0" r="19050" b="1905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414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o:allowincell="f">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EC43468"/>
    <w:lvl w:ilvl="0">
      <w:start w:val="1"/>
      <w:numFmt w:val="bullet"/>
      <w:pStyle w:val="ListBullet5"/>
      <w:lvlText w:val=""/>
      <w:lvlJc w:val="left"/>
      <w:pPr>
        <w:tabs>
          <w:tab w:val="num" w:pos="720"/>
        </w:tabs>
        <w:ind w:left="3600" w:hanging="720"/>
      </w:pPr>
      <w:rPr>
        <w:rFonts w:ascii="Symbol" w:hAnsi="Symbol" w:hint="default"/>
      </w:rPr>
    </w:lvl>
  </w:abstractNum>
  <w:abstractNum w:abstractNumId="1">
    <w:nsid w:val="FFFFFF81"/>
    <w:multiLevelType w:val="singleLevel"/>
    <w:tmpl w:val="A066F5BA"/>
    <w:lvl w:ilvl="0">
      <w:start w:val="1"/>
      <w:numFmt w:val="bullet"/>
      <w:pStyle w:val="ListBullet4"/>
      <w:lvlText w:val=""/>
      <w:lvlJc w:val="left"/>
      <w:pPr>
        <w:tabs>
          <w:tab w:val="num" w:pos="720"/>
        </w:tabs>
        <w:ind w:left="2880" w:hanging="720"/>
      </w:pPr>
      <w:rPr>
        <w:rFonts w:ascii="Symbol" w:hAnsi="Symbol" w:hint="default"/>
      </w:rPr>
    </w:lvl>
  </w:abstractNum>
  <w:abstractNum w:abstractNumId="2">
    <w:nsid w:val="FFFFFF82"/>
    <w:multiLevelType w:val="singleLevel"/>
    <w:tmpl w:val="DA2EB62A"/>
    <w:lvl w:ilvl="0">
      <w:start w:val="1"/>
      <w:numFmt w:val="bullet"/>
      <w:pStyle w:val="ListBullet3"/>
      <w:lvlText w:val=""/>
      <w:lvlJc w:val="left"/>
      <w:pPr>
        <w:tabs>
          <w:tab w:val="num" w:pos="720"/>
        </w:tabs>
        <w:ind w:left="2160" w:hanging="720"/>
      </w:pPr>
      <w:rPr>
        <w:rFonts w:ascii="Symbol" w:hAnsi="Symbol" w:hint="default"/>
      </w:rPr>
    </w:lvl>
  </w:abstractNum>
  <w:abstractNum w:abstractNumId="3">
    <w:nsid w:val="FFFFFF83"/>
    <w:multiLevelType w:val="singleLevel"/>
    <w:tmpl w:val="1D4C3B46"/>
    <w:lvl w:ilvl="0">
      <w:start w:val="1"/>
      <w:numFmt w:val="bullet"/>
      <w:pStyle w:val="ListBullet2"/>
      <w:lvlText w:val=""/>
      <w:lvlJc w:val="left"/>
      <w:pPr>
        <w:tabs>
          <w:tab w:val="num" w:pos="0"/>
        </w:tabs>
        <w:ind w:left="1440" w:hanging="720"/>
      </w:pPr>
      <w:rPr>
        <w:rFonts w:ascii="Symbol" w:hAnsi="Symbol" w:hint="default"/>
      </w:rPr>
    </w:lvl>
  </w:abstractNum>
  <w:abstractNum w:abstractNumId="4">
    <w:nsid w:val="FFFFFF89"/>
    <w:multiLevelType w:val="singleLevel"/>
    <w:tmpl w:val="6C1CD8E0"/>
    <w:lvl w:ilvl="0">
      <w:start w:val="1"/>
      <w:numFmt w:val="bullet"/>
      <w:pStyle w:val="ListBullet"/>
      <w:lvlText w:val=""/>
      <w:lvlJc w:val="left"/>
      <w:pPr>
        <w:tabs>
          <w:tab w:val="num" w:pos="720"/>
        </w:tabs>
        <w:ind w:left="720" w:hanging="720"/>
      </w:pPr>
      <w:rPr>
        <w:rFonts w:ascii="Symbol" w:hAnsi="Symbol" w:hint="default"/>
      </w:rPr>
    </w:lvl>
  </w:abstractNum>
  <w:abstractNum w:abstractNumId="5">
    <w:nsid w:val="00EB7602"/>
    <w:multiLevelType w:val="hybridMultilevel"/>
    <w:tmpl w:val="02C208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D670AE"/>
    <w:multiLevelType w:val="hybridMultilevel"/>
    <w:tmpl w:val="BF84B1E8"/>
    <w:lvl w:ilvl="0" w:tplc="AFAAB740">
      <w:start w:val="1"/>
      <w:numFmt w:val="bullet"/>
      <w:pStyle w:val="LFCheckbox"/>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676E2E"/>
    <w:multiLevelType w:val="hybridMultilevel"/>
    <w:tmpl w:val="947CDF26"/>
    <w:lvl w:ilvl="0" w:tplc="9E2681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62900"/>
    <w:multiLevelType w:val="hybridMultilevel"/>
    <w:tmpl w:val="ED06B7FA"/>
    <w:lvl w:ilvl="0" w:tplc="E9DACD06">
      <w:start w:val="1"/>
      <w:numFmt w:val="upperLetter"/>
      <w:lvlText w:val="%1."/>
      <w:lvlJc w:val="left"/>
      <w:pPr>
        <w:ind w:left="1800" w:hanging="36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B4B4642"/>
    <w:multiLevelType w:val="hybridMultilevel"/>
    <w:tmpl w:val="CB64583E"/>
    <w:lvl w:ilvl="0" w:tplc="AAE6B89A">
      <w:start w:val="1"/>
      <w:numFmt w:val="upperLetter"/>
      <w:pStyle w:val="LFABC"/>
      <w:lvlText w:val="%1."/>
      <w:lvlJc w:val="left"/>
      <w:pPr>
        <w:tabs>
          <w:tab w:val="num" w:pos="1080"/>
        </w:tabs>
        <w:ind w:left="0" w:firstLine="72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DF37DC"/>
    <w:multiLevelType w:val="hybridMultilevel"/>
    <w:tmpl w:val="6D7A4A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494E"/>
    <w:multiLevelType w:val="hybridMultilevel"/>
    <w:tmpl w:val="4DC4B5E4"/>
    <w:lvl w:ilvl="0" w:tplc="94A27B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642169"/>
    <w:multiLevelType w:val="hybridMultilevel"/>
    <w:tmpl w:val="D67CCB04"/>
    <w:lvl w:ilvl="0" w:tplc="17D0D26C">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022F1F"/>
    <w:multiLevelType w:val="hybridMultilevel"/>
    <w:tmpl w:val="36A00D10"/>
    <w:lvl w:ilvl="0" w:tplc="D5DE42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31503FA"/>
    <w:multiLevelType w:val="hybridMultilevel"/>
    <w:tmpl w:val="4ECEAC56"/>
    <w:lvl w:ilvl="0" w:tplc="0DB4EF4A">
      <w:start w:val="1"/>
      <w:numFmt w:val="decimal"/>
      <w:pStyle w:val="LF123"/>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5E6133"/>
    <w:multiLevelType w:val="hybridMultilevel"/>
    <w:tmpl w:val="7370F5CA"/>
    <w:lvl w:ilvl="0" w:tplc="67886614">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F9510F"/>
    <w:multiLevelType w:val="hybridMultilevel"/>
    <w:tmpl w:val="B1E8B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4792D"/>
    <w:multiLevelType w:val="hybridMultilevel"/>
    <w:tmpl w:val="1200C99E"/>
    <w:lvl w:ilvl="0" w:tplc="13B6B4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9"/>
  </w:num>
  <w:num w:numId="4">
    <w:abstractNumId w:val="15"/>
  </w:num>
  <w:num w:numId="5">
    <w:abstractNumId w:val="4"/>
  </w:num>
  <w:num w:numId="6">
    <w:abstractNumId w:val="4"/>
  </w:num>
  <w:num w:numId="7">
    <w:abstractNumId w:val="3"/>
  </w:num>
  <w:num w:numId="8">
    <w:abstractNumId w:val="3"/>
  </w:num>
  <w:num w:numId="9">
    <w:abstractNumId w:val="2"/>
  </w:num>
  <w:num w:numId="10">
    <w:abstractNumId w:val="2"/>
  </w:num>
  <w:num w:numId="11">
    <w:abstractNumId w:val="1"/>
  </w:num>
  <w:num w:numId="12">
    <w:abstractNumId w:val="1"/>
  </w:num>
  <w:num w:numId="13">
    <w:abstractNumId w:val="0"/>
  </w:num>
  <w:num w:numId="14">
    <w:abstractNumId w:val="0"/>
  </w:num>
  <w:num w:numId="15">
    <w:abstractNumId w:val="10"/>
  </w:num>
  <w:num w:numId="16">
    <w:abstractNumId w:val="12"/>
  </w:num>
  <w:num w:numId="17">
    <w:abstractNumId w:val="7"/>
  </w:num>
  <w:num w:numId="18">
    <w:abstractNumId w:val="17"/>
  </w:num>
  <w:num w:numId="19">
    <w:abstractNumId w:val="16"/>
  </w:num>
  <w:num w:numId="20">
    <w:abstractNumId w:val="5"/>
  </w:num>
  <w:num w:numId="21">
    <w:abstractNumId w:val="11"/>
  </w:num>
  <w:num w:numId="22">
    <w:abstractNumId w:val="8"/>
  </w:num>
  <w:num w:numId="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removePersonalInformation/>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PageNumber"/>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EDE"/>
    <w:rsid w:val="00000E49"/>
    <w:rsid w:val="0001191A"/>
    <w:rsid w:val="00030C12"/>
    <w:rsid w:val="00032AD8"/>
    <w:rsid w:val="00041165"/>
    <w:rsid w:val="00041EF0"/>
    <w:rsid w:val="00043C5A"/>
    <w:rsid w:val="00046708"/>
    <w:rsid w:val="00051A4C"/>
    <w:rsid w:val="00062DE5"/>
    <w:rsid w:val="000637AF"/>
    <w:rsid w:val="0007141B"/>
    <w:rsid w:val="00090D69"/>
    <w:rsid w:val="000922A3"/>
    <w:rsid w:val="000A0ECD"/>
    <w:rsid w:val="000A2512"/>
    <w:rsid w:val="000A2DE7"/>
    <w:rsid w:val="000A3C75"/>
    <w:rsid w:val="000A4132"/>
    <w:rsid w:val="000B1525"/>
    <w:rsid w:val="000D1B6D"/>
    <w:rsid w:val="000D3781"/>
    <w:rsid w:val="000D398A"/>
    <w:rsid w:val="000D3AFC"/>
    <w:rsid w:val="000D558E"/>
    <w:rsid w:val="000E5CCF"/>
    <w:rsid w:val="000F3C77"/>
    <w:rsid w:val="000F7927"/>
    <w:rsid w:val="00100FBD"/>
    <w:rsid w:val="001113EA"/>
    <w:rsid w:val="001145D1"/>
    <w:rsid w:val="00114F07"/>
    <w:rsid w:val="001172E1"/>
    <w:rsid w:val="0012039E"/>
    <w:rsid w:val="0012365F"/>
    <w:rsid w:val="0012780F"/>
    <w:rsid w:val="00127ADF"/>
    <w:rsid w:val="00127C98"/>
    <w:rsid w:val="00132F83"/>
    <w:rsid w:val="00135481"/>
    <w:rsid w:val="001415C7"/>
    <w:rsid w:val="0014187B"/>
    <w:rsid w:val="001456BA"/>
    <w:rsid w:val="0014639F"/>
    <w:rsid w:val="00146C6E"/>
    <w:rsid w:val="00147E90"/>
    <w:rsid w:val="00151A6A"/>
    <w:rsid w:val="00157449"/>
    <w:rsid w:val="00160157"/>
    <w:rsid w:val="001635CC"/>
    <w:rsid w:val="00167144"/>
    <w:rsid w:val="00171689"/>
    <w:rsid w:val="00171E1E"/>
    <w:rsid w:val="0017362B"/>
    <w:rsid w:val="00173C77"/>
    <w:rsid w:val="0017590C"/>
    <w:rsid w:val="001778A4"/>
    <w:rsid w:val="0019584D"/>
    <w:rsid w:val="001A1CB1"/>
    <w:rsid w:val="001A2746"/>
    <w:rsid w:val="001A792A"/>
    <w:rsid w:val="001B0203"/>
    <w:rsid w:val="001B332A"/>
    <w:rsid w:val="001B4832"/>
    <w:rsid w:val="001B4D07"/>
    <w:rsid w:val="001B5B21"/>
    <w:rsid w:val="001B6421"/>
    <w:rsid w:val="001B64D8"/>
    <w:rsid w:val="001C5809"/>
    <w:rsid w:val="001D06A2"/>
    <w:rsid w:val="001D5451"/>
    <w:rsid w:val="001E4893"/>
    <w:rsid w:val="001E780D"/>
    <w:rsid w:val="001F4468"/>
    <w:rsid w:val="0020341F"/>
    <w:rsid w:val="0020515C"/>
    <w:rsid w:val="00214F50"/>
    <w:rsid w:val="0021555F"/>
    <w:rsid w:val="00216A14"/>
    <w:rsid w:val="00217F97"/>
    <w:rsid w:val="002238F9"/>
    <w:rsid w:val="002256E6"/>
    <w:rsid w:val="00241762"/>
    <w:rsid w:val="00241C35"/>
    <w:rsid w:val="00245288"/>
    <w:rsid w:val="00250058"/>
    <w:rsid w:val="00272134"/>
    <w:rsid w:val="00273F38"/>
    <w:rsid w:val="00276523"/>
    <w:rsid w:val="00293E92"/>
    <w:rsid w:val="00294D33"/>
    <w:rsid w:val="00297224"/>
    <w:rsid w:val="002A0014"/>
    <w:rsid w:val="002A4573"/>
    <w:rsid w:val="002B13EA"/>
    <w:rsid w:val="002C077E"/>
    <w:rsid w:val="002C081F"/>
    <w:rsid w:val="002C1F8E"/>
    <w:rsid w:val="002C400C"/>
    <w:rsid w:val="002C4D81"/>
    <w:rsid w:val="002C7589"/>
    <w:rsid w:val="002D5696"/>
    <w:rsid w:val="002D5891"/>
    <w:rsid w:val="002D5FF6"/>
    <w:rsid w:val="002E0880"/>
    <w:rsid w:val="002E2B8C"/>
    <w:rsid w:val="002F5514"/>
    <w:rsid w:val="0030482E"/>
    <w:rsid w:val="003070F9"/>
    <w:rsid w:val="003138E4"/>
    <w:rsid w:val="00316F34"/>
    <w:rsid w:val="0032421D"/>
    <w:rsid w:val="003256B7"/>
    <w:rsid w:val="003312FD"/>
    <w:rsid w:val="003314A6"/>
    <w:rsid w:val="00331B7C"/>
    <w:rsid w:val="003418DE"/>
    <w:rsid w:val="003426A4"/>
    <w:rsid w:val="00350D8F"/>
    <w:rsid w:val="0035313F"/>
    <w:rsid w:val="00356D05"/>
    <w:rsid w:val="00357C01"/>
    <w:rsid w:val="0036139D"/>
    <w:rsid w:val="00365D22"/>
    <w:rsid w:val="003823FB"/>
    <w:rsid w:val="00391D41"/>
    <w:rsid w:val="003978CA"/>
    <w:rsid w:val="003A584C"/>
    <w:rsid w:val="003A5ADC"/>
    <w:rsid w:val="003B5884"/>
    <w:rsid w:val="003C3A2E"/>
    <w:rsid w:val="003C7904"/>
    <w:rsid w:val="003D7056"/>
    <w:rsid w:val="003D7FB9"/>
    <w:rsid w:val="003E1C61"/>
    <w:rsid w:val="003E7300"/>
    <w:rsid w:val="003F0A7B"/>
    <w:rsid w:val="003F3ECA"/>
    <w:rsid w:val="003F5319"/>
    <w:rsid w:val="004003E0"/>
    <w:rsid w:val="00406200"/>
    <w:rsid w:val="00410B94"/>
    <w:rsid w:val="00413501"/>
    <w:rsid w:val="004164CA"/>
    <w:rsid w:val="00416A19"/>
    <w:rsid w:val="0042045B"/>
    <w:rsid w:val="004204E1"/>
    <w:rsid w:val="00424558"/>
    <w:rsid w:val="0043122E"/>
    <w:rsid w:val="00433C44"/>
    <w:rsid w:val="0043438D"/>
    <w:rsid w:val="004360C0"/>
    <w:rsid w:val="00436300"/>
    <w:rsid w:val="00436494"/>
    <w:rsid w:val="00440735"/>
    <w:rsid w:val="00442B7B"/>
    <w:rsid w:val="00452827"/>
    <w:rsid w:val="0046219D"/>
    <w:rsid w:val="0046761A"/>
    <w:rsid w:val="004729EF"/>
    <w:rsid w:val="00473318"/>
    <w:rsid w:val="00473373"/>
    <w:rsid w:val="00473FE6"/>
    <w:rsid w:val="00474324"/>
    <w:rsid w:val="00476CFE"/>
    <w:rsid w:val="004862A6"/>
    <w:rsid w:val="00486FAE"/>
    <w:rsid w:val="00494EA1"/>
    <w:rsid w:val="0049740A"/>
    <w:rsid w:val="004A6673"/>
    <w:rsid w:val="004B752D"/>
    <w:rsid w:val="004C3C0D"/>
    <w:rsid w:val="004D12B8"/>
    <w:rsid w:val="004D17A9"/>
    <w:rsid w:val="004D3CAB"/>
    <w:rsid w:val="004E05F9"/>
    <w:rsid w:val="004E31B4"/>
    <w:rsid w:val="004E6E26"/>
    <w:rsid w:val="004F22B0"/>
    <w:rsid w:val="00500BAE"/>
    <w:rsid w:val="0050160C"/>
    <w:rsid w:val="00504171"/>
    <w:rsid w:val="00504595"/>
    <w:rsid w:val="0050644A"/>
    <w:rsid w:val="0051008A"/>
    <w:rsid w:val="00512B3B"/>
    <w:rsid w:val="00515C9F"/>
    <w:rsid w:val="00520989"/>
    <w:rsid w:val="00523AC9"/>
    <w:rsid w:val="005270DD"/>
    <w:rsid w:val="00527415"/>
    <w:rsid w:val="0053728E"/>
    <w:rsid w:val="00556314"/>
    <w:rsid w:val="005613D9"/>
    <w:rsid w:val="005664B3"/>
    <w:rsid w:val="00571FB5"/>
    <w:rsid w:val="00574579"/>
    <w:rsid w:val="005765BA"/>
    <w:rsid w:val="00577357"/>
    <w:rsid w:val="00582F6D"/>
    <w:rsid w:val="0058470A"/>
    <w:rsid w:val="00593061"/>
    <w:rsid w:val="00597DEC"/>
    <w:rsid w:val="005A0F3D"/>
    <w:rsid w:val="005A3320"/>
    <w:rsid w:val="005A77BF"/>
    <w:rsid w:val="005B3313"/>
    <w:rsid w:val="005D00DF"/>
    <w:rsid w:val="005D04A2"/>
    <w:rsid w:val="005D3BB4"/>
    <w:rsid w:val="005D5F15"/>
    <w:rsid w:val="005D6363"/>
    <w:rsid w:val="005D6A27"/>
    <w:rsid w:val="005E5AB4"/>
    <w:rsid w:val="005E7CC3"/>
    <w:rsid w:val="005F0F8C"/>
    <w:rsid w:val="005F3F9C"/>
    <w:rsid w:val="00611140"/>
    <w:rsid w:val="006143E3"/>
    <w:rsid w:val="00623492"/>
    <w:rsid w:val="00631BF1"/>
    <w:rsid w:val="00634193"/>
    <w:rsid w:val="00642950"/>
    <w:rsid w:val="006440D6"/>
    <w:rsid w:val="00644CE7"/>
    <w:rsid w:val="00647B26"/>
    <w:rsid w:val="00650680"/>
    <w:rsid w:val="006636B4"/>
    <w:rsid w:val="0066554A"/>
    <w:rsid w:val="0067134D"/>
    <w:rsid w:val="0067137D"/>
    <w:rsid w:val="00672EB6"/>
    <w:rsid w:val="00674145"/>
    <w:rsid w:val="0068759C"/>
    <w:rsid w:val="006A167C"/>
    <w:rsid w:val="006A5AA1"/>
    <w:rsid w:val="006B1E20"/>
    <w:rsid w:val="006B7033"/>
    <w:rsid w:val="006C09C5"/>
    <w:rsid w:val="006C1403"/>
    <w:rsid w:val="006C354D"/>
    <w:rsid w:val="006C6318"/>
    <w:rsid w:val="006E0917"/>
    <w:rsid w:val="007028EC"/>
    <w:rsid w:val="007118E6"/>
    <w:rsid w:val="00711DBA"/>
    <w:rsid w:val="00712F5A"/>
    <w:rsid w:val="00717CF0"/>
    <w:rsid w:val="007208F4"/>
    <w:rsid w:val="00720A5D"/>
    <w:rsid w:val="00720DE7"/>
    <w:rsid w:val="00721E1D"/>
    <w:rsid w:val="0073147A"/>
    <w:rsid w:val="007335A5"/>
    <w:rsid w:val="007407C0"/>
    <w:rsid w:val="00746006"/>
    <w:rsid w:val="00746802"/>
    <w:rsid w:val="00752433"/>
    <w:rsid w:val="00755D7E"/>
    <w:rsid w:val="0075623F"/>
    <w:rsid w:val="00762869"/>
    <w:rsid w:val="0076302B"/>
    <w:rsid w:val="007670BD"/>
    <w:rsid w:val="0076770A"/>
    <w:rsid w:val="007771EB"/>
    <w:rsid w:val="007925D7"/>
    <w:rsid w:val="007976E0"/>
    <w:rsid w:val="007B3996"/>
    <w:rsid w:val="007B3F47"/>
    <w:rsid w:val="007C1FC4"/>
    <w:rsid w:val="007C42D7"/>
    <w:rsid w:val="007C45CF"/>
    <w:rsid w:val="007C67CB"/>
    <w:rsid w:val="007D3F9E"/>
    <w:rsid w:val="007E195A"/>
    <w:rsid w:val="007E6812"/>
    <w:rsid w:val="007F4BBB"/>
    <w:rsid w:val="007F52EE"/>
    <w:rsid w:val="00800B93"/>
    <w:rsid w:val="008029F0"/>
    <w:rsid w:val="00812F05"/>
    <w:rsid w:val="008221FB"/>
    <w:rsid w:val="00822D74"/>
    <w:rsid w:val="00830E80"/>
    <w:rsid w:val="008345BC"/>
    <w:rsid w:val="00836FDB"/>
    <w:rsid w:val="008460B4"/>
    <w:rsid w:val="00846417"/>
    <w:rsid w:val="00852D88"/>
    <w:rsid w:val="0085377C"/>
    <w:rsid w:val="00853D22"/>
    <w:rsid w:val="008620AE"/>
    <w:rsid w:val="0086421D"/>
    <w:rsid w:val="00870E9D"/>
    <w:rsid w:val="00883835"/>
    <w:rsid w:val="008925B0"/>
    <w:rsid w:val="00895781"/>
    <w:rsid w:val="008A02E2"/>
    <w:rsid w:val="008A219B"/>
    <w:rsid w:val="008A3CBD"/>
    <w:rsid w:val="008B3700"/>
    <w:rsid w:val="008B5D1C"/>
    <w:rsid w:val="008C1D5D"/>
    <w:rsid w:val="008C41A6"/>
    <w:rsid w:val="008E19B3"/>
    <w:rsid w:val="008E1E17"/>
    <w:rsid w:val="008E295F"/>
    <w:rsid w:val="008E3E38"/>
    <w:rsid w:val="008E754E"/>
    <w:rsid w:val="008F08DE"/>
    <w:rsid w:val="008F0C76"/>
    <w:rsid w:val="008F527C"/>
    <w:rsid w:val="008F66EA"/>
    <w:rsid w:val="009013E6"/>
    <w:rsid w:val="00902918"/>
    <w:rsid w:val="0090325E"/>
    <w:rsid w:val="0090737F"/>
    <w:rsid w:val="00912154"/>
    <w:rsid w:val="009155E2"/>
    <w:rsid w:val="00920A89"/>
    <w:rsid w:val="00927090"/>
    <w:rsid w:val="0093372B"/>
    <w:rsid w:val="00936025"/>
    <w:rsid w:val="0094034D"/>
    <w:rsid w:val="0096215F"/>
    <w:rsid w:val="00963E28"/>
    <w:rsid w:val="00971C79"/>
    <w:rsid w:val="00971EB8"/>
    <w:rsid w:val="00974EAA"/>
    <w:rsid w:val="00981E5D"/>
    <w:rsid w:val="009857C9"/>
    <w:rsid w:val="00986109"/>
    <w:rsid w:val="00994101"/>
    <w:rsid w:val="009952DE"/>
    <w:rsid w:val="00997B7B"/>
    <w:rsid w:val="009A2695"/>
    <w:rsid w:val="009A4833"/>
    <w:rsid w:val="009B0C48"/>
    <w:rsid w:val="009B2B77"/>
    <w:rsid w:val="009B3530"/>
    <w:rsid w:val="009B5629"/>
    <w:rsid w:val="009C364C"/>
    <w:rsid w:val="009D2F76"/>
    <w:rsid w:val="009E0E56"/>
    <w:rsid w:val="009F3FCF"/>
    <w:rsid w:val="009F451D"/>
    <w:rsid w:val="009F53BA"/>
    <w:rsid w:val="009F7542"/>
    <w:rsid w:val="00A00B16"/>
    <w:rsid w:val="00A03539"/>
    <w:rsid w:val="00A0465D"/>
    <w:rsid w:val="00A04AE3"/>
    <w:rsid w:val="00A0562B"/>
    <w:rsid w:val="00A06839"/>
    <w:rsid w:val="00A07077"/>
    <w:rsid w:val="00A10A31"/>
    <w:rsid w:val="00A131A1"/>
    <w:rsid w:val="00A167F0"/>
    <w:rsid w:val="00A21120"/>
    <w:rsid w:val="00A22AD8"/>
    <w:rsid w:val="00A22EE6"/>
    <w:rsid w:val="00A37828"/>
    <w:rsid w:val="00A42B48"/>
    <w:rsid w:val="00A450D1"/>
    <w:rsid w:val="00A471D5"/>
    <w:rsid w:val="00A537C8"/>
    <w:rsid w:val="00A65364"/>
    <w:rsid w:val="00A73D37"/>
    <w:rsid w:val="00A819FA"/>
    <w:rsid w:val="00A91A2F"/>
    <w:rsid w:val="00A96A80"/>
    <w:rsid w:val="00AA492C"/>
    <w:rsid w:val="00AB1215"/>
    <w:rsid w:val="00AB2522"/>
    <w:rsid w:val="00AB2B95"/>
    <w:rsid w:val="00AC0742"/>
    <w:rsid w:val="00AC2F38"/>
    <w:rsid w:val="00AC3229"/>
    <w:rsid w:val="00AD1665"/>
    <w:rsid w:val="00AD219B"/>
    <w:rsid w:val="00AD2974"/>
    <w:rsid w:val="00AE1B92"/>
    <w:rsid w:val="00AF2042"/>
    <w:rsid w:val="00AF51A6"/>
    <w:rsid w:val="00AF645A"/>
    <w:rsid w:val="00B0154B"/>
    <w:rsid w:val="00B034A6"/>
    <w:rsid w:val="00B04DBC"/>
    <w:rsid w:val="00B122E6"/>
    <w:rsid w:val="00B145E9"/>
    <w:rsid w:val="00B16EDE"/>
    <w:rsid w:val="00B171E1"/>
    <w:rsid w:val="00B227A5"/>
    <w:rsid w:val="00B26810"/>
    <w:rsid w:val="00B42279"/>
    <w:rsid w:val="00B43335"/>
    <w:rsid w:val="00B4487B"/>
    <w:rsid w:val="00B54FA8"/>
    <w:rsid w:val="00B55C82"/>
    <w:rsid w:val="00B56E2D"/>
    <w:rsid w:val="00B62E3A"/>
    <w:rsid w:val="00B643CA"/>
    <w:rsid w:val="00B6524A"/>
    <w:rsid w:val="00B6680F"/>
    <w:rsid w:val="00B672C8"/>
    <w:rsid w:val="00B70438"/>
    <w:rsid w:val="00B72D79"/>
    <w:rsid w:val="00B765E5"/>
    <w:rsid w:val="00B7667B"/>
    <w:rsid w:val="00B83F9E"/>
    <w:rsid w:val="00B9025B"/>
    <w:rsid w:val="00B97071"/>
    <w:rsid w:val="00BB05FD"/>
    <w:rsid w:val="00BB5733"/>
    <w:rsid w:val="00BC029D"/>
    <w:rsid w:val="00BC22D3"/>
    <w:rsid w:val="00BC2DAF"/>
    <w:rsid w:val="00BD4C5A"/>
    <w:rsid w:val="00BD7F7B"/>
    <w:rsid w:val="00BF0631"/>
    <w:rsid w:val="00BF3FCC"/>
    <w:rsid w:val="00BF43A2"/>
    <w:rsid w:val="00BF5B53"/>
    <w:rsid w:val="00BF6223"/>
    <w:rsid w:val="00C02CA7"/>
    <w:rsid w:val="00C230DD"/>
    <w:rsid w:val="00C33C35"/>
    <w:rsid w:val="00C360B5"/>
    <w:rsid w:val="00C4051E"/>
    <w:rsid w:val="00C445F5"/>
    <w:rsid w:val="00C45062"/>
    <w:rsid w:val="00C47256"/>
    <w:rsid w:val="00C55539"/>
    <w:rsid w:val="00C6160B"/>
    <w:rsid w:val="00C61B2B"/>
    <w:rsid w:val="00C71B0A"/>
    <w:rsid w:val="00C731F5"/>
    <w:rsid w:val="00C73FB4"/>
    <w:rsid w:val="00C81D0D"/>
    <w:rsid w:val="00C84392"/>
    <w:rsid w:val="00C87B0E"/>
    <w:rsid w:val="00C94C9A"/>
    <w:rsid w:val="00CA1987"/>
    <w:rsid w:val="00CA53AA"/>
    <w:rsid w:val="00CA59D5"/>
    <w:rsid w:val="00CB1B84"/>
    <w:rsid w:val="00CB22AE"/>
    <w:rsid w:val="00CB575F"/>
    <w:rsid w:val="00CC24EF"/>
    <w:rsid w:val="00CC325A"/>
    <w:rsid w:val="00CC3552"/>
    <w:rsid w:val="00CC5D4C"/>
    <w:rsid w:val="00CD175C"/>
    <w:rsid w:val="00CD1B14"/>
    <w:rsid w:val="00CD671A"/>
    <w:rsid w:val="00CD6D4D"/>
    <w:rsid w:val="00CE5265"/>
    <w:rsid w:val="00CF1E00"/>
    <w:rsid w:val="00CF6EA3"/>
    <w:rsid w:val="00CF6F8C"/>
    <w:rsid w:val="00CF715B"/>
    <w:rsid w:val="00D0031D"/>
    <w:rsid w:val="00D02F3F"/>
    <w:rsid w:val="00D24606"/>
    <w:rsid w:val="00D246F2"/>
    <w:rsid w:val="00D25412"/>
    <w:rsid w:val="00D25C0E"/>
    <w:rsid w:val="00D25DCD"/>
    <w:rsid w:val="00D40810"/>
    <w:rsid w:val="00D41790"/>
    <w:rsid w:val="00D41D7F"/>
    <w:rsid w:val="00D44802"/>
    <w:rsid w:val="00D5037B"/>
    <w:rsid w:val="00D528AC"/>
    <w:rsid w:val="00D54A0A"/>
    <w:rsid w:val="00D54D03"/>
    <w:rsid w:val="00D601A1"/>
    <w:rsid w:val="00D63089"/>
    <w:rsid w:val="00D65FE6"/>
    <w:rsid w:val="00D70B0A"/>
    <w:rsid w:val="00D76DA1"/>
    <w:rsid w:val="00D83F8E"/>
    <w:rsid w:val="00D9235B"/>
    <w:rsid w:val="00DA378C"/>
    <w:rsid w:val="00DA593F"/>
    <w:rsid w:val="00DB266B"/>
    <w:rsid w:val="00DB3B4F"/>
    <w:rsid w:val="00DB3F51"/>
    <w:rsid w:val="00DC003C"/>
    <w:rsid w:val="00DD5CCE"/>
    <w:rsid w:val="00DD5EF6"/>
    <w:rsid w:val="00DE5102"/>
    <w:rsid w:val="00DF0D25"/>
    <w:rsid w:val="00DF2DD8"/>
    <w:rsid w:val="00DF6679"/>
    <w:rsid w:val="00E00287"/>
    <w:rsid w:val="00E01ECF"/>
    <w:rsid w:val="00E04AF6"/>
    <w:rsid w:val="00E072B0"/>
    <w:rsid w:val="00E07DE8"/>
    <w:rsid w:val="00E10067"/>
    <w:rsid w:val="00E1072F"/>
    <w:rsid w:val="00E11789"/>
    <w:rsid w:val="00E13413"/>
    <w:rsid w:val="00E3729E"/>
    <w:rsid w:val="00E37EE7"/>
    <w:rsid w:val="00E42AF1"/>
    <w:rsid w:val="00E56F5E"/>
    <w:rsid w:val="00E606DC"/>
    <w:rsid w:val="00E6473B"/>
    <w:rsid w:val="00E64D9C"/>
    <w:rsid w:val="00E7281E"/>
    <w:rsid w:val="00E74040"/>
    <w:rsid w:val="00E76946"/>
    <w:rsid w:val="00E77038"/>
    <w:rsid w:val="00E81CA6"/>
    <w:rsid w:val="00E84F7C"/>
    <w:rsid w:val="00E87678"/>
    <w:rsid w:val="00E9073F"/>
    <w:rsid w:val="00E942D0"/>
    <w:rsid w:val="00EA0D4A"/>
    <w:rsid w:val="00EB35DD"/>
    <w:rsid w:val="00EB4383"/>
    <w:rsid w:val="00EC20E4"/>
    <w:rsid w:val="00EC5451"/>
    <w:rsid w:val="00EC75DA"/>
    <w:rsid w:val="00EC76B0"/>
    <w:rsid w:val="00ED38B6"/>
    <w:rsid w:val="00EE2ED5"/>
    <w:rsid w:val="00EF79BB"/>
    <w:rsid w:val="00F01260"/>
    <w:rsid w:val="00F02111"/>
    <w:rsid w:val="00F0649C"/>
    <w:rsid w:val="00F07C20"/>
    <w:rsid w:val="00F12275"/>
    <w:rsid w:val="00F21F1D"/>
    <w:rsid w:val="00F27DA3"/>
    <w:rsid w:val="00F304A8"/>
    <w:rsid w:val="00F31AC9"/>
    <w:rsid w:val="00F464C2"/>
    <w:rsid w:val="00F466C9"/>
    <w:rsid w:val="00F50132"/>
    <w:rsid w:val="00F54635"/>
    <w:rsid w:val="00F550B6"/>
    <w:rsid w:val="00F55905"/>
    <w:rsid w:val="00F66CBC"/>
    <w:rsid w:val="00F731E8"/>
    <w:rsid w:val="00F77E6F"/>
    <w:rsid w:val="00F937E0"/>
    <w:rsid w:val="00FA00F0"/>
    <w:rsid w:val="00FA0617"/>
    <w:rsid w:val="00FA1573"/>
    <w:rsid w:val="00FA1C0D"/>
    <w:rsid w:val="00FA4E5C"/>
    <w:rsid w:val="00FA5572"/>
    <w:rsid w:val="00FA7106"/>
    <w:rsid w:val="00FB0FB2"/>
    <w:rsid w:val="00FB5C43"/>
    <w:rsid w:val="00FC6B41"/>
    <w:rsid w:val="00FC712C"/>
    <w:rsid w:val="00FD01AC"/>
    <w:rsid w:val="00FD0C92"/>
    <w:rsid w:val="00FD4A61"/>
    <w:rsid w:val="00FD5115"/>
    <w:rsid w:val="00FD64CA"/>
    <w:rsid w:val="00FD6F12"/>
    <w:rsid w:val="00FD7DE0"/>
    <w:rsid w:val="00FE2A0E"/>
    <w:rsid w:val="00FE542C"/>
    <w:rsid w:val="00FF0E36"/>
    <w:rsid w:val="00FF38F6"/>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240" w:lineRule="exact"/>
    </w:pPr>
    <w:rPr>
      <w:sz w:val="24"/>
    </w:rPr>
  </w:style>
  <w:style w:type="paragraph" w:styleId="Heading1">
    <w:name w:val="heading 1"/>
    <w:basedOn w:val="LFBase"/>
    <w:qFormat/>
    <w:pPr>
      <w:keepNext/>
      <w:keepLines/>
      <w:jc w:val="center"/>
      <w:outlineLvl w:val="0"/>
    </w:pPr>
    <w:rPr>
      <w:rFonts w:ascii="Times New Roman Bold" w:hAnsi="Times New Roman Bold"/>
      <w:b/>
      <w:caps/>
      <w:kern w:val="28"/>
    </w:rPr>
  </w:style>
  <w:style w:type="paragraph" w:styleId="Heading2">
    <w:name w:val="heading 2"/>
    <w:basedOn w:val="LFBase"/>
    <w:qFormat/>
    <w:pPr>
      <w:keepNext/>
      <w:keepLines/>
      <w:jc w:val="center"/>
      <w:outlineLvl w:val="1"/>
    </w:pPr>
    <w:rPr>
      <w:rFonts w:ascii="Times New Roman Bold" w:hAnsi="Times New Roman Bold"/>
      <w:b/>
      <w:smallCaps/>
      <w:sz w:val="28"/>
    </w:rPr>
  </w:style>
  <w:style w:type="paragraph" w:styleId="Heading3">
    <w:name w:val="heading 3"/>
    <w:basedOn w:val="LFBase"/>
    <w:qFormat/>
    <w:pPr>
      <w:keepNext/>
      <w:keepLines/>
      <w:jc w:val="center"/>
      <w:outlineLvl w:val="2"/>
    </w:pPr>
    <w:rPr>
      <w:rFonts w:ascii="Times New Roman Bold" w:hAnsi="Times New Roman Bold"/>
      <w:b/>
      <w:u w:val="single"/>
    </w:rPr>
  </w:style>
  <w:style w:type="paragraph" w:styleId="Heading4">
    <w:name w:val="heading 4"/>
    <w:basedOn w:val="LFBase"/>
    <w:qFormat/>
    <w:pPr>
      <w:keepNext/>
      <w:keepLines/>
      <w:tabs>
        <w:tab w:val="left" w:pos="3249"/>
      </w:tabs>
      <w:outlineLvl w:val="3"/>
    </w:pPr>
    <w:rPr>
      <w:rFonts w:ascii="Times New Roman Bold" w:hAnsi="Times New Roman Bold"/>
      <w:b/>
      <w:caps/>
      <w:sz w:val="28"/>
    </w:rPr>
  </w:style>
  <w:style w:type="paragraph" w:styleId="Heading5">
    <w:name w:val="heading 5"/>
    <w:basedOn w:val="LFBase"/>
    <w:qFormat/>
    <w:pPr>
      <w:keepNext/>
      <w:keepLines/>
      <w:tabs>
        <w:tab w:val="left" w:pos="3933"/>
      </w:tabs>
      <w:outlineLvl w:val="4"/>
    </w:pPr>
    <w:rPr>
      <w:rFonts w:ascii="Times New Roman Bold" w:hAnsi="Times New Roman Bold"/>
      <w:b/>
      <w:u w:val="single"/>
    </w:rPr>
  </w:style>
  <w:style w:type="paragraph" w:styleId="Heading6">
    <w:name w:val="heading 6"/>
    <w:basedOn w:val="LFBase"/>
    <w:qFormat/>
    <w:pPr>
      <w:keepNext/>
      <w:keepLines/>
      <w:outlineLvl w:val="5"/>
    </w:pPr>
    <w:rPr>
      <w:rFonts w:ascii="Times New Roman Bold" w:hAnsi="Times New Roman Bold"/>
      <w:b/>
      <w:smallCaps/>
      <w:sz w:val="28"/>
    </w:rPr>
  </w:style>
  <w:style w:type="paragraph" w:styleId="Heading7">
    <w:name w:val="heading 7"/>
    <w:basedOn w:val="LFBase"/>
    <w:qFormat/>
    <w:pPr>
      <w:keepNext/>
      <w:keepLines/>
      <w:tabs>
        <w:tab w:val="left" w:pos="5400"/>
      </w:tabs>
      <w:outlineLvl w:val="6"/>
    </w:pPr>
  </w:style>
  <w:style w:type="paragraph" w:styleId="Heading8">
    <w:name w:val="heading 8"/>
    <w:basedOn w:val="LFBase"/>
    <w:qFormat/>
    <w:pPr>
      <w:keepNext/>
      <w:keepLines/>
      <w:tabs>
        <w:tab w:val="left" w:pos="5928"/>
      </w:tabs>
      <w:outlineLvl w:val="7"/>
    </w:pPr>
  </w:style>
  <w:style w:type="paragraph" w:styleId="Heading9">
    <w:name w:val="heading 9"/>
    <w:basedOn w:val="LFBase"/>
    <w:qFormat/>
    <w:pPr>
      <w:keepNext/>
      <w:keep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FBase">
    <w:name w:val="LF Base"/>
    <w:pPr>
      <w:widowControl w:val="0"/>
      <w:spacing w:line="240" w:lineRule="exact"/>
      <w:jc w:val="both"/>
    </w:pPr>
    <w:rPr>
      <w:rFonts w:eastAsia="MS Mincho"/>
      <w:sz w:val="24"/>
    </w:rPr>
  </w:style>
  <w:style w:type="paragraph" w:customStyle="1" w:styleId="LFAttorneyName">
    <w:name w:val="LF Attorney Name"/>
    <w:basedOn w:val="LFBase"/>
    <w:pPr>
      <w:keepNext/>
    </w:pPr>
  </w:style>
  <w:style w:type="paragraph" w:styleId="Salutation">
    <w:name w:val="Salutation"/>
    <w:basedOn w:val="Normal"/>
    <w:next w:val="Normal"/>
  </w:style>
  <w:style w:type="paragraph" w:styleId="Footer">
    <w:name w:val="footer"/>
    <w:basedOn w:val="LFBase"/>
    <w:link w:val="FooterChar"/>
    <w:uiPriority w:val="99"/>
    <w:pPr>
      <w:tabs>
        <w:tab w:val="center" w:pos="4680"/>
        <w:tab w:val="right" w:pos="9490"/>
      </w:tabs>
    </w:pPr>
  </w:style>
  <w:style w:type="paragraph" w:styleId="FootnoteText">
    <w:name w:val="footnote text"/>
    <w:basedOn w:val="LFBase"/>
    <w:link w:val="FootnoteTextChar"/>
    <w:uiPriority w:val="99"/>
    <w:pPr>
      <w:tabs>
        <w:tab w:val="left" w:pos="540"/>
      </w:tabs>
      <w:spacing w:after="240"/>
    </w:pPr>
  </w:style>
  <w:style w:type="character" w:styleId="FootnoteReference">
    <w:name w:val="footnote reference"/>
    <w:basedOn w:val="DefaultParagraphFont"/>
    <w:uiPriority w:val="99"/>
    <w:semiHidden/>
    <w:rPr>
      <w:vertAlign w:val="superscript"/>
    </w:rPr>
  </w:style>
  <w:style w:type="paragraph" w:styleId="ListBullet">
    <w:name w:val="List Bullet"/>
    <w:basedOn w:val="LFBase"/>
    <w:pPr>
      <w:widowControl/>
      <w:numPr>
        <w:numId w:val="5"/>
      </w:numPr>
      <w:spacing w:line="480" w:lineRule="exact"/>
    </w:pPr>
  </w:style>
  <w:style w:type="paragraph" w:styleId="ListBullet2">
    <w:name w:val="List Bullet 2"/>
    <w:basedOn w:val="LFBase"/>
    <w:pPr>
      <w:widowControl/>
      <w:numPr>
        <w:numId w:val="7"/>
      </w:numPr>
      <w:spacing w:line="480" w:lineRule="exact"/>
    </w:pPr>
  </w:style>
  <w:style w:type="paragraph" w:customStyle="1" w:styleId="LFSignatureAlt">
    <w:name w:val="LF Signature Alt"/>
    <w:basedOn w:val="LFBase"/>
    <w:pPr>
      <w:tabs>
        <w:tab w:val="left" w:pos="9360"/>
      </w:tabs>
      <w:jc w:val="left"/>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TOC1">
    <w:name w:val="toc 1"/>
    <w:basedOn w:val="LFBase"/>
    <w:next w:val="LFBase"/>
    <w:autoRedefine/>
    <w:semiHidden/>
    <w:pPr>
      <w:widowControl/>
      <w:tabs>
        <w:tab w:val="left" w:pos="720"/>
        <w:tab w:val="right" w:leader="dot" w:pos="9360"/>
      </w:tabs>
      <w:ind w:left="720" w:hanging="720"/>
      <w:jc w:val="left"/>
    </w:pPr>
  </w:style>
  <w:style w:type="paragraph" w:styleId="TOC2">
    <w:name w:val="toc 2"/>
    <w:basedOn w:val="LFBase"/>
    <w:next w:val="LFBase"/>
    <w:autoRedefine/>
    <w:semiHidden/>
    <w:pPr>
      <w:widowControl/>
      <w:tabs>
        <w:tab w:val="left" w:pos="1440"/>
        <w:tab w:val="right" w:leader="dot" w:pos="9360"/>
      </w:tabs>
      <w:ind w:left="1440" w:hanging="720"/>
      <w:jc w:val="left"/>
    </w:pPr>
    <w:rPr>
      <w:noProof/>
    </w:rPr>
  </w:style>
  <w:style w:type="paragraph" w:styleId="TOC3">
    <w:name w:val="toc 3"/>
    <w:basedOn w:val="LFBase"/>
    <w:next w:val="LFBase"/>
    <w:autoRedefine/>
    <w:semiHidden/>
    <w:pPr>
      <w:widowControl/>
      <w:tabs>
        <w:tab w:val="left" w:pos="2160"/>
        <w:tab w:val="right" w:leader="dot" w:pos="9360"/>
      </w:tabs>
      <w:ind w:left="2160" w:hanging="720"/>
      <w:jc w:val="left"/>
    </w:pPr>
    <w:rPr>
      <w:noProof/>
    </w:rPr>
  </w:style>
  <w:style w:type="paragraph" w:styleId="TOC4">
    <w:name w:val="toc 4"/>
    <w:basedOn w:val="LFBase"/>
    <w:next w:val="LFBase"/>
    <w:autoRedefine/>
    <w:semiHidden/>
    <w:pPr>
      <w:widowControl/>
      <w:tabs>
        <w:tab w:val="num" w:pos="2880"/>
        <w:tab w:val="right" w:leader="dot" w:pos="9360"/>
      </w:tabs>
      <w:ind w:left="2880" w:hanging="720"/>
      <w:jc w:val="left"/>
    </w:pPr>
    <w:rPr>
      <w:snapToGrid w:val="0"/>
    </w:rPr>
  </w:style>
  <w:style w:type="paragraph" w:styleId="TOC5">
    <w:name w:val="toc 5"/>
    <w:basedOn w:val="LFBase"/>
    <w:next w:val="LFBase"/>
    <w:autoRedefine/>
    <w:semiHidden/>
    <w:pPr>
      <w:widowControl/>
      <w:tabs>
        <w:tab w:val="left" w:pos="3600"/>
        <w:tab w:val="right" w:leader="dot" w:pos="9360"/>
      </w:tabs>
      <w:ind w:left="3600" w:hanging="720"/>
      <w:jc w:val="left"/>
    </w:pPr>
    <w:rPr>
      <w:snapToGrid w:val="0"/>
    </w:rPr>
  </w:style>
  <w:style w:type="paragraph" w:styleId="TOC6">
    <w:name w:val="toc 6"/>
    <w:basedOn w:val="LFBase"/>
    <w:next w:val="LFBase"/>
    <w:autoRedefine/>
    <w:semiHidden/>
    <w:pPr>
      <w:widowControl/>
      <w:tabs>
        <w:tab w:val="num" w:pos="4320"/>
        <w:tab w:val="right" w:leader="dot" w:pos="9360"/>
      </w:tabs>
      <w:ind w:left="4320" w:hanging="720"/>
      <w:jc w:val="left"/>
    </w:pPr>
    <w:rPr>
      <w:snapToGrid w:val="0"/>
    </w:rPr>
  </w:style>
  <w:style w:type="paragraph" w:styleId="TOC7">
    <w:name w:val="toc 7"/>
    <w:basedOn w:val="LFBase"/>
    <w:next w:val="LFBase"/>
    <w:autoRedefine/>
    <w:semiHidden/>
    <w:pPr>
      <w:widowControl/>
      <w:tabs>
        <w:tab w:val="left" w:pos="5040"/>
        <w:tab w:val="right" w:leader="dot" w:pos="9360"/>
      </w:tabs>
      <w:ind w:left="5040" w:hanging="720"/>
      <w:jc w:val="left"/>
    </w:pPr>
    <w:rPr>
      <w:snapToGrid w:val="0"/>
    </w:rPr>
  </w:style>
  <w:style w:type="paragraph" w:styleId="TOC8">
    <w:name w:val="toc 8"/>
    <w:basedOn w:val="LFBase"/>
    <w:next w:val="LFBase"/>
    <w:autoRedefine/>
    <w:semiHidden/>
    <w:pPr>
      <w:widowControl/>
      <w:tabs>
        <w:tab w:val="left" w:pos="5760"/>
        <w:tab w:val="right" w:leader="dot" w:pos="9360"/>
      </w:tabs>
      <w:ind w:left="5760" w:hanging="720"/>
      <w:jc w:val="left"/>
    </w:pPr>
    <w:rPr>
      <w:snapToGrid w:val="0"/>
    </w:rPr>
  </w:style>
  <w:style w:type="paragraph" w:styleId="TOC9">
    <w:name w:val="toc 9"/>
    <w:basedOn w:val="LFBase"/>
    <w:next w:val="LFBase"/>
    <w:autoRedefine/>
    <w:semiHidden/>
    <w:pPr>
      <w:widowControl/>
      <w:tabs>
        <w:tab w:val="left" w:pos="6480"/>
        <w:tab w:val="right" w:leader="dot" w:pos="9360"/>
      </w:tabs>
      <w:ind w:left="6480" w:hanging="720"/>
      <w:jc w:val="left"/>
    </w:pPr>
    <w:rPr>
      <w:snapToGrid w:val="0"/>
    </w:rPr>
  </w:style>
  <w:style w:type="paragraph" w:customStyle="1" w:styleId="LFPldNumbersinMargin">
    <w:name w:val="LF Pld Numbers in Margin"/>
    <w:basedOn w:val="LFBase"/>
    <w:pPr>
      <w:spacing w:line="480" w:lineRule="exact"/>
      <w:jc w:val="right"/>
    </w:pPr>
  </w:style>
  <w:style w:type="paragraph" w:customStyle="1" w:styleId="LFPldSignatureBlock">
    <w:name w:val="LF Pld Signature Block"/>
    <w:basedOn w:val="LFBase"/>
    <w:pPr>
      <w:jc w:val="left"/>
    </w:pPr>
    <w:rPr>
      <w:rFonts w:eastAsia="Times New Roman"/>
    </w:rPr>
  </w:style>
  <w:style w:type="paragraph" w:customStyle="1" w:styleId="LFBody10After">
    <w:name w:val="LF Body 1 0 After"/>
    <w:basedOn w:val="LFBase"/>
    <w:pPr>
      <w:widowControl/>
    </w:pPr>
  </w:style>
  <w:style w:type="paragraph" w:styleId="Closing">
    <w:name w:val="Closing"/>
    <w:basedOn w:val="LFBase"/>
    <w:pPr>
      <w:tabs>
        <w:tab w:val="left" w:pos="4845"/>
        <w:tab w:val="left" w:pos="5760"/>
        <w:tab w:val="left" w:pos="9360"/>
      </w:tabs>
      <w:ind w:left="4320"/>
    </w:pPr>
  </w:style>
  <w:style w:type="paragraph" w:styleId="TableofAuthorities">
    <w:name w:val="table of authorities"/>
    <w:basedOn w:val="LFBase"/>
    <w:next w:val="LFBase"/>
    <w:autoRedefine/>
    <w:semiHidden/>
    <w:pPr>
      <w:tabs>
        <w:tab w:val="left" w:pos="720"/>
        <w:tab w:val="right" w:leader="dot" w:pos="9180"/>
      </w:tabs>
      <w:jc w:val="left"/>
    </w:pPr>
    <w:rPr>
      <w:noProof/>
    </w:rPr>
  </w:style>
  <w:style w:type="paragraph" w:styleId="TOAHeading">
    <w:name w:val="toa heading"/>
    <w:basedOn w:val="LFBase"/>
    <w:next w:val="LFBase"/>
    <w:autoRedefine/>
    <w:semiHidden/>
    <w:pPr>
      <w:spacing w:line="480" w:lineRule="exact"/>
      <w:jc w:val="left"/>
    </w:pPr>
    <w:rPr>
      <w:rFonts w:ascii="Times New Roman Bold" w:hAnsi="Times New Roman Bold"/>
      <w:b/>
      <w:bCs/>
      <w:noProof/>
      <w:szCs w:val="24"/>
    </w:rPr>
  </w:style>
  <w:style w:type="paragraph" w:customStyle="1" w:styleId="LineNumber1">
    <w:name w:val="Line Number1"/>
    <w:pPr>
      <w:widowControl w:val="0"/>
      <w:spacing w:after="240" w:line="240" w:lineRule="exact"/>
      <w:jc w:val="right"/>
    </w:pPr>
    <w:rPr>
      <w:sz w:val="24"/>
    </w:rPr>
  </w:style>
  <w:style w:type="character" w:styleId="FollowedHyperlink">
    <w:name w:val="FollowedHyperlink"/>
    <w:basedOn w:val="DefaultParagraphFont"/>
    <w:rPr>
      <w:color w:val="800080"/>
      <w:u w:val="single"/>
    </w:rPr>
  </w:style>
  <w:style w:type="paragraph" w:styleId="Header">
    <w:name w:val="header"/>
    <w:basedOn w:val="LFBase"/>
    <w:pPr>
      <w:tabs>
        <w:tab w:val="center" w:pos="4680"/>
        <w:tab w:val="right" w:pos="9450"/>
      </w:tabs>
    </w:pPr>
  </w:style>
  <w:style w:type="paragraph" w:customStyle="1" w:styleId="LFPropoundInfo">
    <w:name w:val="LF Propound Info"/>
    <w:basedOn w:val="LFBase"/>
    <w:pPr>
      <w:tabs>
        <w:tab w:val="left" w:pos="2880"/>
      </w:tabs>
      <w:spacing w:after="240"/>
      <w:ind w:left="2880" w:hanging="2880"/>
      <w:jc w:val="left"/>
    </w:pPr>
  </w:style>
  <w:style w:type="paragraph" w:customStyle="1" w:styleId="LFTOCTOAFLUSHRGT">
    <w:name w:val="LF TOC/TOA FLUSH RGT"/>
    <w:basedOn w:val="LFBase"/>
    <w:pPr>
      <w:jc w:val="right"/>
    </w:pPr>
    <w:rPr>
      <w:b/>
      <w:u w:val="single"/>
    </w:rPr>
  </w:style>
  <w:style w:type="paragraph" w:customStyle="1" w:styleId="LFTOCTOAHEADING">
    <w:name w:val="LF TOC/TOA HEADING"/>
    <w:basedOn w:val="LFBase"/>
    <w:pPr>
      <w:jc w:val="center"/>
    </w:pPr>
    <w:rPr>
      <w:b/>
      <w:caps/>
      <w:u w:val="single"/>
    </w:rPr>
  </w:style>
  <w:style w:type="paragraph" w:customStyle="1" w:styleId="LFBody1">
    <w:name w:val="LF Body 1"/>
    <w:basedOn w:val="LFBase"/>
    <w:pPr>
      <w:spacing w:after="240"/>
    </w:pPr>
  </w:style>
  <w:style w:type="paragraph" w:customStyle="1" w:styleId="LFBody1BlockInd">
    <w:name w:val="LF Body 1 Block Ind"/>
    <w:basedOn w:val="LFBase"/>
    <w:pPr>
      <w:spacing w:after="240"/>
      <w:ind w:left="720" w:right="720"/>
    </w:pPr>
  </w:style>
  <w:style w:type="paragraph" w:customStyle="1" w:styleId="LFBody1HangInd">
    <w:name w:val="LF Body 1 Hang Ind"/>
    <w:basedOn w:val="LFBase"/>
    <w:pPr>
      <w:spacing w:after="240"/>
      <w:ind w:left="720" w:hanging="720"/>
    </w:pPr>
  </w:style>
  <w:style w:type="paragraph" w:customStyle="1" w:styleId="LFBody1LeftInd">
    <w:name w:val="LF Body 1 Left Ind"/>
    <w:basedOn w:val="LFBase"/>
    <w:pPr>
      <w:spacing w:after="240"/>
      <w:ind w:left="720"/>
    </w:pPr>
  </w:style>
  <w:style w:type="paragraph" w:customStyle="1" w:styleId="LFBody1Tab">
    <w:name w:val="LF Body 1 Tab"/>
    <w:basedOn w:val="LFBase"/>
    <w:pPr>
      <w:spacing w:after="240"/>
      <w:ind w:firstLine="720"/>
    </w:pPr>
  </w:style>
  <w:style w:type="paragraph" w:customStyle="1" w:styleId="LFBody2">
    <w:name w:val="LF Body 2"/>
    <w:basedOn w:val="LFBase"/>
    <w:pPr>
      <w:spacing w:line="480" w:lineRule="exact"/>
    </w:pPr>
  </w:style>
  <w:style w:type="paragraph" w:customStyle="1" w:styleId="LFBody2BlockInd">
    <w:name w:val="LF Body 2 Block Ind"/>
    <w:basedOn w:val="LFBase"/>
    <w:pPr>
      <w:spacing w:line="480" w:lineRule="exact"/>
      <w:ind w:left="720" w:right="720"/>
    </w:pPr>
  </w:style>
  <w:style w:type="paragraph" w:customStyle="1" w:styleId="LFBody2HangInd">
    <w:name w:val="LF Body 2 Hang Ind"/>
    <w:basedOn w:val="LFBase"/>
    <w:pPr>
      <w:spacing w:line="480" w:lineRule="exact"/>
      <w:ind w:left="720" w:hanging="720"/>
    </w:pPr>
  </w:style>
  <w:style w:type="paragraph" w:customStyle="1" w:styleId="LFBody2LeftInd">
    <w:name w:val="LF Body 2 Left Ind"/>
    <w:basedOn w:val="LFBase"/>
    <w:pPr>
      <w:spacing w:line="480" w:lineRule="exact"/>
      <w:ind w:left="720"/>
    </w:pPr>
  </w:style>
  <w:style w:type="paragraph" w:customStyle="1" w:styleId="LFBody2Tab">
    <w:name w:val="LF Body 2 Tab"/>
    <w:basedOn w:val="LFBase"/>
    <w:pPr>
      <w:spacing w:line="480" w:lineRule="exact"/>
      <w:ind w:firstLine="720"/>
    </w:pPr>
  </w:style>
  <w:style w:type="paragraph" w:styleId="ListBullet3">
    <w:name w:val="List Bullet 3"/>
    <w:basedOn w:val="LFBase"/>
    <w:pPr>
      <w:widowControl/>
      <w:numPr>
        <w:numId w:val="9"/>
      </w:numPr>
      <w:spacing w:line="480" w:lineRule="exact"/>
    </w:pPr>
  </w:style>
  <w:style w:type="paragraph" w:customStyle="1" w:styleId="LFIndex">
    <w:name w:val="LF Index"/>
    <w:basedOn w:val="LFBase"/>
    <w:pPr>
      <w:tabs>
        <w:tab w:val="right" w:pos="9360"/>
      </w:tabs>
      <w:spacing w:after="240"/>
      <w:jc w:val="left"/>
    </w:pPr>
  </w:style>
  <w:style w:type="paragraph" w:customStyle="1" w:styleId="LFIndexDotLeader">
    <w:name w:val="LF Index Dot Leader"/>
    <w:basedOn w:val="LFBase"/>
    <w:pPr>
      <w:tabs>
        <w:tab w:val="right" w:leader="dot" w:pos="9360"/>
      </w:tabs>
      <w:spacing w:after="240"/>
      <w:jc w:val="left"/>
    </w:pPr>
  </w:style>
  <w:style w:type="paragraph" w:customStyle="1" w:styleId="LFPersonalBody1-A">
    <w:name w:val="LF Personal Body 1 - A"/>
    <w:basedOn w:val="LFBase"/>
    <w:pPr>
      <w:spacing w:after="240"/>
    </w:pPr>
  </w:style>
  <w:style w:type="paragraph" w:customStyle="1" w:styleId="LFPersonalBody1-B">
    <w:name w:val="LF Personal Body 1 - B"/>
    <w:basedOn w:val="LFBase"/>
    <w:pPr>
      <w:spacing w:after="240"/>
    </w:pPr>
  </w:style>
  <w:style w:type="paragraph" w:customStyle="1" w:styleId="LFPersonalBody1-C">
    <w:name w:val="LF Personal Body 1 - C"/>
    <w:basedOn w:val="LFBase"/>
    <w:pPr>
      <w:spacing w:after="240"/>
    </w:pPr>
  </w:style>
  <w:style w:type="paragraph" w:customStyle="1" w:styleId="LFPersonalBody2-A">
    <w:name w:val="LF Personal Body 2 - A"/>
    <w:basedOn w:val="LFBase"/>
    <w:pPr>
      <w:spacing w:line="480" w:lineRule="exact"/>
    </w:pPr>
  </w:style>
  <w:style w:type="paragraph" w:customStyle="1" w:styleId="LFPersonalBody2-B">
    <w:name w:val="LF Personal Body 2 - B"/>
    <w:basedOn w:val="LFBase"/>
    <w:pPr>
      <w:spacing w:line="480" w:lineRule="exact"/>
    </w:pPr>
  </w:style>
  <w:style w:type="paragraph" w:customStyle="1" w:styleId="LFPersonalBody2-C">
    <w:name w:val="LF Personal Body 2 - C"/>
    <w:basedOn w:val="LFBase"/>
    <w:pPr>
      <w:spacing w:line="480" w:lineRule="exact"/>
    </w:pPr>
  </w:style>
  <w:style w:type="paragraph" w:customStyle="1" w:styleId="LFPersonalHeading1-A">
    <w:name w:val="LF Personal Heading 1 - A"/>
    <w:basedOn w:val="LFBase"/>
    <w:pPr>
      <w:keepNext/>
      <w:keepLines/>
      <w:spacing w:after="240"/>
      <w:jc w:val="center"/>
    </w:pPr>
  </w:style>
  <w:style w:type="paragraph" w:customStyle="1" w:styleId="LFPersonalHeading1-B">
    <w:name w:val="LF Personal Heading 1 - B"/>
    <w:basedOn w:val="LFBase"/>
    <w:pPr>
      <w:keepNext/>
      <w:keepLines/>
      <w:spacing w:after="240"/>
      <w:jc w:val="center"/>
    </w:pPr>
  </w:style>
  <w:style w:type="paragraph" w:customStyle="1" w:styleId="LFPersonalHeading2-A">
    <w:name w:val="LF Personal Heading 2 - A"/>
    <w:basedOn w:val="LFBase"/>
    <w:pPr>
      <w:keepNext/>
      <w:keepLines/>
      <w:spacing w:line="480" w:lineRule="exact"/>
      <w:jc w:val="center"/>
    </w:pPr>
  </w:style>
  <w:style w:type="paragraph" w:customStyle="1" w:styleId="LFPersonalHeading2-B">
    <w:name w:val="LF Personal Heading 2 - B"/>
    <w:basedOn w:val="LFBase"/>
    <w:pPr>
      <w:keepNext/>
      <w:keepLines/>
      <w:spacing w:line="480" w:lineRule="exact"/>
      <w:jc w:val="center"/>
    </w:pPr>
  </w:style>
  <w:style w:type="paragraph" w:customStyle="1" w:styleId="LFTableCenter">
    <w:name w:val="LF Table Center"/>
    <w:basedOn w:val="LFBase"/>
    <w:pPr>
      <w:jc w:val="center"/>
    </w:pPr>
  </w:style>
  <w:style w:type="paragraph" w:customStyle="1" w:styleId="LFTableLeft">
    <w:name w:val="LF Table Left"/>
    <w:basedOn w:val="LFBase"/>
    <w:pPr>
      <w:jc w:val="left"/>
    </w:pPr>
  </w:style>
  <w:style w:type="paragraph" w:customStyle="1" w:styleId="LFTableRight">
    <w:name w:val="LF Table Right"/>
    <w:basedOn w:val="LFBase"/>
    <w:pPr>
      <w:jc w:val="right"/>
    </w:pPr>
  </w:style>
  <w:style w:type="paragraph" w:styleId="ListBullet4">
    <w:name w:val="List Bullet 4"/>
    <w:basedOn w:val="LFBase"/>
    <w:pPr>
      <w:widowControl/>
      <w:numPr>
        <w:numId w:val="11"/>
      </w:numPr>
      <w:spacing w:line="480" w:lineRule="exact"/>
    </w:pPr>
  </w:style>
  <w:style w:type="paragraph" w:styleId="ListBullet5">
    <w:name w:val="List Bullet 5"/>
    <w:basedOn w:val="LFBase"/>
    <w:pPr>
      <w:widowControl/>
      <w:numPr>
        <w:numId w:val="13"/>
      </w:numPr>
      <w:spacing w:line="480" w:lineRule="exact"/>
    </w:pPr>
  </w:style>
  <w:style w:type="paragraph" w:customStyle="1" w:styleId="LFCheckbox">
    <w:name w:val="LF Checkbox"/>
    <w:basedOn w:val="LFBase"/>
    <w:pPr>
      <w:numPr>
        <w:numId w:val="1"/>
      </w:numPr>
      <w:tabs>
        <w:tab w:val="clear" w:pos="720"/>
      </w:tabs>
      <w:spacing w:after="240"/>
      <w:ind w:hanging="720"/>
    </w:pPr>
  </w:style>
  <w:style w:type="paragraph" w:customStyle="1" w:styleId="LF123">
    <w:name w:val="LF 123"/>
    <w:basedOn w:val="LFBase"/>
    <w:pPr>
      <w:widowControl/>
      <w:numPr>
        <w:numId w:val="2"/>
      </w:numPr>
      <w:tabs>
        <w:tab w:val="clear" w:pos="1080"/>
        <w:tab w:val="num" w:pos="1440"/>
      </w:tabs>
      <w:spacing w:line="480" w:lineRule="exact"/>
    </w:pPr>
  </w:style>
  <w:style w:type="paragraph" w:customStyle="1" w:styleId="LFABC">
    <w:name w:val="LF ABC"/>
    <w:basedOn w:val="LFBase"/>
    <w:pPr>
      <w:widowControl/>
      <w:numPr>
        <w:numId w:val="3"/>
      </w:numPr>
      <w:tabs>
        <w:tab w:val="clear" w:pos="1080"/>
        <w:tab w:val="num" w:pos="1440"/>
      </w:tabs>
      <w:spacing w:line="480" w:lineRule="exact"/>
    </w:pPr>
  </w:style>
  <w:style w:type="paragraph" w:customStyle="1" w:styleId="LFAddendumExh">
    <w:name w:val="LF Addendum/Exh."/>
    <w:basedOn w:val="LFBase"/>
    <w:pPr>
      <w:widowControl/>
      <w:tabs>
        <w:tab w:val="left" w:pos="3600"/>
      </w:tabs>
      <w:ind w:left="3600" w:hanging="2880"/>
    </w:pPr>
  </w:style>
  <w:style w:type="paragraph" w:customStyle="1" w:styleId="LFAddressIndented">
    <w:name w:val="LF Address Indented"/>
    <w:basedOn w:val="LFBase"/>
    <w:pPr>
      <w:keepNext/>
      <w:widowControl/>
      <w:tabs>
        <w:tab w:val="left" w:pos="3600"/>
      </w:tabs>
      <w:ind w:left="720"/>
      <w:jc w:val="left"/>
    </w:pPr>
  </w:style>
  <w:style w:type="paragraph" w:customStyle="1" w:styleId="LFBlockIndent10">
    <w:name w:val="LF Block Indent 1.0"/>
    <w:basedOn w:val="LFBase"/>
    <w:pPr>
      <w:widowControl/>
      <w:spacing w:after="240"/>
      <w:ind w:left="1440" w:right="1440"/>
    </w:pPr>
  </w:style>
  <w:style w:type="paragraph" w:customStyle="1" w:styleId="LFBlockIndentAlt">
    <w:name w:val="LF Block Indent Alt"/>
    <w:basedOn w:val="LFBase"/>
    <w:pPr>
      <w:widowControl/>
      <w:tabs>
        <w:tab w:val="left" w:pos="2160"/>
      </w:tabs>
      <w:spacing w:after="240"/>
      <w:ind w:left="2160" w:right="-43" w:hanging="720"/>
      <w:jc w:val="left"/>
    </w:pPr>
  </w:style>
  <w:style w:type="paragraph" w:customStyle="1" w:styleId="LFCenterAlt">
    <w:name w:val="LF Center Alt"/>
    <w:basedOn w:val="LFBase"/>
    <w:pPr>
      <w:widowControl/>
      <w:jc w:val="center"/>
    </w:pPr>
  </w:style>
  <w:style w:type="paragraph" w:customStyle="1" w:styleId="LFTableTextAlt">
    <w:name w:val="LF Table Text Alt"/>
    <w:basedOn w:val="LFBase"/>
    <w:pPr>
      <w:widowControl/>
      <w:jc w:val="left"/>
    </w:pPr>
  </w:style>
  <w:style w:type="paragraph" w:customStyle="1" w:styleId="LFTableTextBold">
    <w:name w:val="LF Table Text Bold"/>
    <w:basedOn w:val="LFBase"/>
    <w:pPr>
      <w:widowControl/>
      <w:jc w:val="left"/>
    </w:pPr>
    <w:rPr>
      <w:rFonts w:ascii="Times New Roman Bold" w:hAnsi="Times New Roman Bold"/>
      <w:b/>
      <w:bCs/>
    </w:rPr>
  </w:style>
  <w:style w:type="paragraph" w:customStyle="1" w:styleId="LFTitleCtrBold-Und">
    <w:name w:val="LF Title Ctr Bold-Und"/>
    <w:basedOn w:val="LFBase"/>
    <w:pPr>
      <w:keepNext/>
      <w:widowControl/>
      <w:spacing w:after="240"/>
      <w:jc w:val="center"/>
    </w:pPr>
    <w:rPr>
      <w:rFonts w:ascii="Times New Roman Bold" w:hAnsi="Times New Roman Bold"/>
      <w:b/>
      <w:u w:val="single"/>
    </w:rPr>
  </w:style>
  <w:style w:type="paragraph" w:customStyle="1" w:styleId="LFTitleLeftBold-Undds">
    <w:name w:val="LF Title Left Bold-Und ds"/>
    <w:basedOn w:val="LFBase"/>
    <w:pPr>
      <w:keepNext/>
      <w:widowControl/>
      <w:spacing w:after="240"/>
    </w:pPr>
    <w:rPr>
      <w:b/>
      <w:u w:val="single"/>
    </w:rPr>
  </w:style>
  <w:style w:type="paragraph" w:customStyle="1" w:styleId="LFSignatureBlock">
    <w:name w:val="LF Signature Block"/>
    <w:basedOn w:val="LFBase"/>
    <w:pPr>
      <w:widowControl/>
      <w:tabs>
        <w:tab w:val="left" w:pos="5040"/>
        <w:tab w:val="left" w:pos="9450"/>
      </w:tabs>
      <w:ind w:left="4320"/>
      <w:jc w:val="left"/>
    </w:pPr>
  </w:style>
  <w:style w:type="paragraph" w:customStyle="1" w:styleId="LFTableText">
    <w:name w:val="LF Table Text"/>
    <w:basedOn w:val="LFBase"/>
    <w:pPr>
      <w:widowControl/>
      <w:tabs>
        <w:tab w:val="left" w:pos="540"/>
        <w:tab w:val="left" w:pos="4500"/>
      </w:tabs>
      <w:jc w:val="left"/>
    </w:pPr>
  </w:style>
  <w:style w:type="paragraph" w:customStyle="1" w:styleId="LFBody1Tab1">
    <w:name w:val="LF Body 1 Tab 1&quot;"/>
    <w:basedOn w:val="LFBase"/>
    <w:pPr>
      <w:widowControl/>
      <w:spacing w:after="240"/>
      <w:ind w:firstLine="1440"/>
    </w:pPr>
  </w:style>
  <w:style w:type="paragraph" w:customStyle="1" w:styleId="LFBody1Tab15">
    <w:name w:val="LF Body 1 Tab 1.5&quot;"/>
    <w:basedOn w:val="LFBase"/>
    <w:pPr>
      <w:widowControl/>
      <w:spacing w:after="240"/>
      <w:ind w:firstLine="2160"/>
    </w:pPr>
  </w:style>
  <w:style w:type="paragraph" w:customStyle="1" w:styleId="LFBody2Tab1">
    <w:name w:val="LF Body 2 Tab 1&quot;"/>
    <w:basedOn w:val="LFBase"/>
    <w:pPr>
      <w:widowControl/>
      <w:spacing w:line="480" w:lineRule="exact"/>
      <w:ind w:firstLine="1440"/>
    </w:pPr>
  </w:style>
  <w:style w:type="paragraph" w:customStyle="1" w:styleId="LFBody2Tab15">
    <w:name w:val="LF Body 2 Tab 1.5&quot;"/>
    <w:basedOn w:val="LFBase"/>
    <w:pPr>
      <w:widowControl/>
      <w:spacing w:line="480" w:lineRule="exact"/>
      <w:ind w:firstLine="2160"/>
    </w:pPr>
  </w:style>
  <w:style w:type="paragraph" w:customStyle="1" w:styleId="LFHdgCenter">
    <w:name w:val="LF Hdg Center"/>
    <w:basedOn w:val="LFBase"/>
    <w:pPr>
      <w:keepNext/>
      <w:keepLines/>
      <w:widowControl/>
      <w:suppressAutoHyphens/>
      <w:spacing w:after="240"/>
      <w:jc w:val="center"/>
    </w:pPr>
    <w:rPr>
      <w:rFonts w:eastAsia="SimSun"/>
    </w:rPr>
  </w:style>
  <w:style w:type="paragraph" w:customStyle="1" w:styleId="LFHdgCenterBold">
    <w:name w:val="LF Hdg Center Bold"/>
    <w:basedOn w:val="LFBase"/>
    <w:pPr>
      <w:keepNext/>
      <w:keepLines/>
      <w:widowControl/>
      <w:suppressAutoHyphens/>
      <w:spacing w:after="240"/>
      <w:jc w:val="center"/>
    </w:pPr>
    <w:rPr>
      <w:rFonts w:eastAsia="SimSun"/>
      <w:b/>
    </w:rPr>
  </w:style>
  <w:style w:type="paragraph" w:customStyle="1" w:styleId="LFHdgCenterBold-Italic">
    <w:name w:val="LF Hdg Center Bold-Italic"/>
    <w:basedOn w:val="LFBase"/>
    <w:pPr>
      <w:keepNext/>
      <w:keepLines/>
      <w:widowControl/>
      <w:suppressAutoHyphens/>
      <w:spacing w:after="240"/>
      <w:jc w:val="center"/>
    </w:pPr>
    <w:rPr>
      <w:rFonts w:eastAsia="SimSun"/>
      <w:b/>
      <w:i/>
    </w:rPr>
  </w:style>
  <w:style w:type="paragraph" w:customStyle="1" w:styleId="LFHdgCenterBold-Und">
    <w:name w:val="LF Hdg Center Bold-Und"/>
    <w:basedOn w:val="LFBase"/>
    <w:pPr>
      <w:keepNext/>
      <w:keepLines/>
      <w:widowControl/>
      <w:suppressAutoHyphens/>
      <w:spacing w:after="240"/>
      <w:jc w:val="center"/>
    </w:pPr>
    <w:rPr>
      <w:rFonts w:eastAsia="SimSun"/>
      <w:b/>
      <w:u w:val="single"/>
    </w:rPr>
  </w:style>
  <w:style w:type="paragraph" w:customStyle="1" w:styleId="LFHdgCenterBold-Und-Italic">
    <w:name w:val="LF Hdg Center Bold-Und-Italic"/>
    <w:basedOn w:val="LFBase"/>
    <w:pPr>
      <w:keepNext/>
      <w:keepLines/>
      <w:widowControl/>
      <w:suppressAutoHyphens/>
      <w:spacing w:after="240"/>
      <w:jc w:val="center"/>
    </w:pPr>
    <w:rPr>
      <w:rFonts w:eastAsia="SimSun"/>
      <w:b/>
      <w:i/>
      <w:u w:val="single"/>
    </w:rPr>
  </w:style>
  <w:style w:type="paragraph" w:customStyle="1" w:styleId="LFHdgCenterItalic">
    <w:name w:val="LF Hdg Center Italic"/>
    <w:basedOn w:val="LFBase"/>
    <w:pPr>
      <w:keepNext/>
      <w:keepLines/>
      <w:widowControl/>
      <w:suppressAutoHyphens/>
      <w:spacing w:after="240"/>
      <w:jc w:val="center"/>
    </w:pPr>
    <w:rPr>
      <w:rFonts w:eastAsia="SimSun"/>
      <w:i/>
    </w:rPr>
  </w:style>
  <w:style w:type="paragraph" w:customStyle="1" w:styleId="LFHdgCenterUnd">
    <w:name w:val="LF Hdg Center Und"/>
    <w:basedOn w:val="LFBase"/>
    <w:pPr>
      <w:keepNext/>
      <w:keepLines/>
      <w:widowControl/>
      <w:suppressAutoHyphens/>
      <w:spacing w:after="240"/>
      <w:jc w:val="center"/>
    </w:pPr>
    <w:rPr>
      <w:rFonts w:eastAsia="SimSun"/>
      <w:u w:val="single"/>
    </w:rPr>
  </w:style>
  <w:style w:type="paragraph" w:customStyle="1" w:styleId="LFHdgLeft">
    <w:name w:val="LF Hdg Left"/>
    <w:basedOn w:val="LFBase"/>
    <w:pPr>
      <w:keepNext/>
      <w:keepLines/>
      <w:widowControl/>
      <w:suppressAutoHyphens/>
      <w:spacing w:after="240"/>
    </w:pPr>
    <w:rPr>
      <w:rFonts w:eastAsia="SimSun"/>
    </w:rPr>
  </w:style>
  <w:style w:type="paragraph" w:customStyle="1" w:styleId="LFHdgLeftBold">
    <w:name w:val="LF Hdg Left Bold"/>
    <w:basedOn w:val="LFBase"/>
    <w:pPr>
      <w:keepNext/>
      <w:keepLines/>
      <w:widowControl/>
      <w:suppressAutoHyphens/>
      <w:spacing w:after="240"/>
    </w:pPr>
    <w:rPr>
      <w:rFonts w:eastAsia="SimSun"/>
      <w:b/>
    </w:rPr>
  </w:style>
  <w:style w:type="paragraph" w:customStyle="1" w:styleId="LFHdgLeftBold-Italic">
    <w:name w:val="LF Hdg Left Bold-Italic"/>
    <w:basedOn w:val="LFBase"/>
    <w:pPr>
      <w:keepNext/>
      <w:keepLines/>
      <w:widowControl/>
      <w:suppressAutoHyphens/>
      <w:spacing w:after="240"/>
    </w:pPr>
    <w:rPr>
      <w:rFonts w:eastAsia="SimSun"/>
      <w:b/>
      <w:i/>
    </w:rPr>
  </w:style>
  <w:style w:type="paragraph" w:customStyle="1" w:styleId="LFHdgLeftBold-Und">
    <w:name w:val="LF Hdg Left Bold-Und"/>
    <w:basedOn w:val="LFBase"/>
    <w:pPr>
      <w:keepNext/>
      <w:keepLines/>
      <w:widowControl/>
      <w:suppressAutoHyphens/>
      <w:spacing w:after="240"/>
    </w:pPr>
    <w:rPr>
      <w:rFonts w:eastAsia="SimSun"/>
      <w:b/>
      <w:u w:val="single"/>
    </w:rPr>
  </w:style>
  <w:style w:type="paragraph" w:customStyle="1" w:styleId="LFHdgLeftBold-Und-Italic">
    <w:name w:val="LF Hdg Left Bold-Und-Italic"/>
    <w:basedOn w:val="LFBase"/>
    <w:pPr>
      <w:keepNext/>
      <w:keepLines/>
      <w:widowControl/>
      <w:suppressAutoHyphens/>
      <w:spacing w:after="240"/>
    </w:pPr>
    <w:rPr>
      <w:rFonts w:eastAsia="SimSun"/>
      <w:b/>
      <w:i/>
      <w:u w:val="single"/>
    </w:rPr>
  </w:style>
  <w:style w:type="paragraph" w:customStyle="1" w:styleId="LFHdgLeftItalic">
    <w:name w:val="LF Hdg Left Italic"/>
    <w:basedOn w:val="LFBase"/>
    <w:pPr>
      <w:keepNext/>
      <w:keepLines/>
      <w:widowControl/>
      <w:suppressAutoHyphens/>
      <w:spacing w:after="240"/>
    </w:pPr>
    <w:rPr>
      <w:rFonts w:eastAsia="SimSun"/>
      <w:i/>
    </w:rPr>
  </w:style>
  <w:style w:type="paragraph" w:customStyle="1" w:styleId="LFHdgLeftUnd">
    <w:name w:val="LF Hdg Left Und"/>
    <w:basedOn w:val="LFBase"/>
    <w:pPr>
      <w:keepNext/>
      <w:keepLines/>
      <w:widowControl/>
      <w:suppressAutoHyphens/>
      <w:spacing w:after="240"/>
    </w:pPr>
    <w:rPr>
      <w:rFonts w:eastAsia="SimSun"/>
      <w:u w:val="single"/>
    </w:rPr>
  </w:style>
  <w:style w:type="paragraph" w:customStyle="1" w:styleId="LFHdgRight">
    <w:name w:val="LF Hdg Right"/>
    <w:basedOn w:val="LFBase"/>
    <w:pPr>
      <w:keepNext/>
      <w:keepLines/>
      <w:widowControl/>
      <w:suppressAutoHyphens/>
      <w:spacing w:after="240"/>
      <w:jc w:val="right"/>
    </w:pPr>
    <w:rPr>
      <w:rFonts w:eastAsia="SimSun"/>
    </w:rPr>
  </w:style>
  <w:style w:type="paragraph" w:customStyle="1" w:styleId="LFHdgRightBold">
    <w:name w:val="LF Hdg Right Bold"/>
    <w:basedOn w:val="LFBase"/>
    <w:pPr>
      <w:keepNext/>
      <w:keepLines/>
      <w:widowControl/>
      <w:suppressAutoHyphens/>
      <w:spacing w:after="240"/>
      <w:jc w:val="right"/>
    </w:pPr>
    <w:rPr>
      <w:rFonts w:eastAsia="SimSun"/>
      <w:b/>
    </w:rPr>
  </w:style>
  <w:style w:type="paragraph" w:customStyle="1" w:styleId="LFHdgRightBold-Italic">
    <w:name w:val="LF Hdg Right Bold-Italic"/>
    <w:basedOn w:val="LFBase"/>
    <w:pPr>
      <w:keepNext/>
      <w:keepLines/>
      <w:widowControl/>
      <w:suppressAutoHyphens/>
      <w:spacing w:after="240"/>
      <w:jc w:val="right"/>
    </w:pPr>
    <w:rPr>
      <w:rFonts w:eastAsia="SimSun"/>
      <w:b/>
      <w:i/>
    </w:rPr>
  </w:style>
  <w:style w:type="paragraph" w:customStyle="1" w:styleId="LFHdgRightBold-Und">
    <w:name w:val="LF Hdg Right Bold-Und"/>
    <w:basedOn w:val="LFBase"/>
    <w:pPr>
      <w:keepNext/>
      <w:keepLines/>
      <w:widowControl/>
      <w:suppressAutoHyphens/>
      <w:spacing w:after="240"/>
      <w:jc w:val="right"/>
    </w:pPr>
    <w:rPr>
      <w:rFonts w:eastAsia="SimSun"/>
      <w:b/>
      <w:u w:val="single"/>
    </w:rPr>
  </w:style>
  <w:style w:type="paragraph" w:customStyle="1" w:styleId="LFHdgRightBold-Und-Italic">
    <w:name w:val="LF Hdg Right Bold-Und-Italic"/>
    <w:basedOn w:val="LFBase"/>
    <w:pPr>
      <w:keepNext/>
      <w:keepLines/>
      <w:widowControl/>
      <w:suppressAutoHyphens/>
      <w:spacing w:after="240"/>
      <w:jc w:val="right"/>
    </w:pPr>
    <w:rPr>
      <w:rFonts w:eastAsia="SimSun"/>
      <w:b/>
      <w:i/>
      <w:u w:val="single"/>
    </w:rPr>
  </w:style>
  <w:style w:type="paragraph" w:customStyle="1" w:styleId="LFHdgRightItalic">
    <w:name w:val="LF Hdg Right Italic"/>
    <w:basedOn w:val="LFBase"/>
    <w:pPr>
      <w:keepNext/>
      <w:keepLines/>
      <w:widowControl/>
      <w:suppressAutoHyphens/>
      <w:spacing w:after="240"/>
      <w:jc w:val="right"/>
    </w:pPr>
    <w:rPr>
      <w:rFonts w:eastAsia="SimSun"/>
      <w:i/>
    </w:rPr>
  </w:style>
  <w:style w:type="paragraph" w:customStyle="1" w:styleId="LFHdgRightUnd">
    <w:name w:val="LF Hdg Right Und"/>
    <w:basedOn w:val="LFBase"/>
    <w:pPr>
      <w:keepNext/>
      <w:keepLines/>
      <w:widowControl/>
      <w:suppressAutoHyphens/>
      <w:spacing w:after="240"/>
      <w:jc w:val="right"/>
    </w:pPr>
    <w:rPr>
      <w:rFonts w:eastAsia="SimSun"/>
      <w:u w:val="single"/>
    </w:rPr>
  </w:style>
  <w:style w:type="paragraph" w:customStyle="1" w:styleId="LFNon-NumberedHdg1">
    <w:name w:val="LF Non-Numbered Hdg 1"/>
    <w:basedOn w:val="Normal"/>
    <w:pPr>
      <w:keepNext/>
      <w:keepLines/>
      <w:widowControl/>
      <w:suppressAutoHyphens/>
      <w:spacing w:after="240"/>
      <w:jc w:val="center"/>
      <w:outlineLvl w:val="0"/>
    </w:pPr>
    <w:rPr>
      <w:rFonts w:eastAsia="SimSun"/>
      <w:b/>
      <w:u w:val="single"/>
      <w:lang w:eastAsia="zh-CN"/>
    </w:rPr>
  </w:style>
  <w:style w:type="paragraph" w:customStyle="1" w:styleId="LFNon-NumberedHdg2">
    <w:name w:val="LF Non-Numbered Hdg 2"/>
    <w:basedOn w:val="Normal"/>
    <w:pPr>
      <w:keepNext/>
      <w:keepLines/>
      <w:widowControl/>
      <w:suppressAutoHyphens/>
      <w:spacing w:after="240"/>
      <w:outlineLvl w:val="1"/>
    </w:pPr>
    <w:rPr>
      <w:rFonts w:eastAsia="SimSun"/>
      <w:b/>
      <w:lang w:eastAsia="zh-CN"/>
    </w:rPr>
  </w:style>
  <w:style w:type="paragraph" w:customStyle="1" w:styleId="LFNon-NumberedHdg3">
    <w:name w:val="LF Non-Numbered Hdg 3"/>
    <w:basedOn w:val="Normal"/>
    <w:pPr>
      <w:keepNext/>
      <w:keepLines/>
      <w:widowControl/>
      <w:suppressAutoHyphens/>
      <w:spacing w:after="240"/>
      <w:outlineLvl w:val="2"/>
    </w:pPr>
    <w:rPr>
      <w:rFonts w:eastAsia="SimSun"/>
      <w:i/>
      <w:lang w:eastAsia="zh-CN"/>
    </w:rPr>
  </w:style>
  <w:style w:type="paragraph" w:customStyle="1" w:styleId="LFGraphic">
    <w:name w:val="LF Graphic"/>
    <w:basedOn w:val="LFBase"/>
    <w:pPr>
      <w:widowControl/>
      <w:spacing w:after="240"/>
      <w:jc w:val="center"/>
    </w:pPr>
  </w:style>
  <w:style w:type="paragraph" w:customStyle="1" w:styleId="LFFirmData">
    <w:name w:val="LF Firm Data"/>
    <w:basedOn w:val="LFBase"/>
    <w:pPr>
      <w:keepNext/>
      <w:widowControl/>
      <w:jc w:val="left"/>
    </w:pPr>
  </w:style>
  <w:style w:type="paragraph" w:customStyle="1" w:styleId="LFHeading1Center">
    <w:name w:val="LF Heading 1 Center"/>
    <w:basedOn w:val="LFBase"/>
    <w:pPr>
      <w:widowControl/>
      <w:spacing w:after="240"/>
      <w:jc w:val="center"/>
    </w:pPr>
  </w:style>
  <w:style w:type="paragraph" w:customStyle="1" w:styleId="EMail">
    <w:name w:val="_EMail"/>
    <w:basedOn w:val="LFFirmData"/>
    <w:pPr>
      <w:tabs>
        <w:tab w:val="left" w:pos="1080"/>
      </w:tabs>
    </w:pPr>
  </w:style>
  <w:style w:type="paragraph" w:styleId="BalloonText">
    <w:name w:val="Balloon Text"/>
    <w:basedOn w:val="Normal"/>
    <w:link w:val="BalloonTextChar"/>
    <w:rsid w:val="00A0353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03539"/>
    <w:rPr>
      <w:rFonts w:ascii="Tahoma" w:hAnsi="Tahoma" w:cs="Tahoma"/>
      <w:sz w:val="16"/>
      <w:szCs w:val="16"/>
    </w:rPr>
  </w:style>
  <w:style w:type="paragraph" w:styleId="ListParagraph">
    <w:name w:val="List Paragraph"/>
    <w:basedOn w:val="Normal"/>
    <w:uiPriority w:val="34"/>
    <w:qFormat/>
    <w:rsid w:val="00DE5102"/>
    <w:pPr>
      <w:ind w:left="720"/>
      <w:contextualSpacing/>
    </w:pPr>
  </w:style>
  <w:style w:type="character" w:customStyle="1" w:styleId="FootnoteTextChar">
    <w:name w:val="Footnote Text Char"/>
    <w:basedOn w:val="DefaultParagraphFont"/>
    <w:link w:val="FootnoteText"/>
    <w:uiPriority w:val="99"/>
    <w:rsid w:val="00DE5102"/>
    <w:rPr>
      <w:rFonts w:eastAsia="MS Mincho"/>
      <w:sz w:val="24"/>
    </w:rPr>
  </w:style>
  <w:style w:type="character" w:customStyle="1" w:styleId="term">
    <w:name w:val="term"/>
    <w:basedOn w:val="DefaultParagraphFont"/>
    <w:rsid w:val="00500BAE"/>
  </w:style>
  <w:style w:type="character" w:customStyle="1" w:styleId="term1">
    <w:name w:val="term1"/>
    <w:basedOn w:val="DefaultParagraphFont"/>
    <w:rsid w:val="006B7033"/>
    <w:rPr>
      <w:b/>
      <w:bCs/>
    </w:rPr>
  </w:style>
  <w:style w:type="character" w:customStyle="1" w:styleId="apple-converted-space">
    <w:name w:val="apple-converted-space"/>
    <w:basedOn w:val="DefaultParagraphFont"/>
    <w:rsid w:val="00800B93"/>
  </w:style>
  <w:style w:type="character" w:customStyle="1" w:styleId="FooterChar">
    <w:name w:val="Footer Char"/>
    <w:basedOn w:val="DefaultParagraphFont"/>
    <w:link w:val="Footer"/>
    <w:uiPriority w:val="99"/>
    <w:rsid w:val="00F21F1D"/>
    <w:rPr>
      <w:rFonts w:eastAsia="MS Mincho"/>
      <w:sz w:val="24"/>
    </w:rPr>
  </w:style>
  <w:style w:type="character" w:customStyle="1" w:styleId="pmterms11">
    <w:name w:val="pmterms11"/>
    <w:basedOn w:val="DefaultParagraphFont"/>
    <w:rsid w:val="009F451D"/>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240" w:lineRule="exact"/>
    </w:pPr>
    <w:rPr>
      <w:sz w:val="24"/>
    </w:rPr>
  </w:style>
  <w:style w:type="paragraph" w:styleId="Heading1">
    <w:name w:val="heading 1"/>
    <w:basedOn w:val="LFBase"/>
    <w:qFormat/>
    <w:pPr>
      <w:keepNext/>
      <w:keepLines/>
      <w:jc w:val="center"/>
      <w:outlineLvl w:val="0"/>
    </w:pPr>
    <w:rPr>
      <w:rFonts w:ascii="Times New Roman Bold" w:hAnsi="Times New Roman Bold"/>
      <w:b/>
      <w:caps/>
      <w:kern w:val="28"/>
    </w:rPr>
  </w:style>
  <w:style w:type="paragraph" w:styleId="Heading2">
    <w:name w:val="heading 2"/>
    <w:basedOn w:val="LFBase"/>
    <w:qFormat/>
    <w:pPr>
      <w:keepNext/>
      <w:keepLines/>
      <w:jc w:val="center"/>
      <w:outlineLvl w:val="1"/>
    </w:pPr>
    <w:rPr>
      <w:rFonts w:ascii="Times New Roman Bold" w:hAnsi="Times New Roman Bold"/>
      <w:b/>
      <w:smallCaps/>
      <w:sz w:val="28"/>
    </w:rPr>
  </w:style>
  <w:style w:type="paragraph" w:styleId="Heading3">
    <w:name w:val="heading 3"/>
    <w:basedOn w:val="LFBase"/>
    <w:qFormat/>
    <w:pPr>
      <w:keepNext/>
      <w:keepLines/>
      <w:jc w:val="center"/>
      <w:outlineLvl w:val="2"/>
    </w:pPr>
    <w:rPr>
      <w:rFonts w:ascii="Times New Roman Bold" w:hAnsi="Times New Roman Bold"/>
      <w:b/>
      <w:u w:val="single"/>
    </w:rPr>
  </w:style>
  <w:style w:type="paragraph" w:styleId="Heading4">
    <w:name w:val="heading 4"/>
    <w:basedOn w:val="LFBase"/>
    <w:qFormat/>
    <w:pPr>
      <w:keepNext/>
      <w:keepLines/>
      <w:tabs>
        <w:tab w:val="left" w:pos="3249"/>
      </w:tabs>
      <w:outlineLvl w:val="3"/>
    </w:pPr>
    <w:rPr>
      <w:rFonts w:ascii="Times New Roman Bold" w:hAnsi="Times New Roman Bold"/>
      <w:b/>
      <w:caps/>
      <w:sz w:val="28"/>
    </w:rPr>
  </w:style>
  <w:style w:type="paragraph" w:styleId="Heading5">
    <w:name w:val="heading 5"/>
    <w:basedOn w:val="LFBase"/>
    <w:qFormat/>
    <w:pPr>
      <w:keepNext/>
      <w:keepLines/>
      <w:tabs>
        <w:tab w:val="left" w:pos="3933"/>
      </w:tabs>
      <w:outlineLvl w:val="4"/>
    </w:pPr>
    <w:rPr>
      <w:rFonts w:ascii="Times New Roman Bold" w:hAnsi="Times New Roman Bold"/>
      <w:b/>
      <w:u w:val="single"/>
    </w:rPr>
  </w:style>
  <w:style w:type="paragraph" w:styleId="Heading6">
    <w:name w:val="heading 6"/>
    <w:basedOn w:val="LFBase"/>
    <w:qFormat/>
    <w:pPr>
      <w:keepNext/>
      <w:keepLines/>
      <w:outlineLvl w:val="5"/>
    </w:pPr>
    <w:rPr>
      <w:rFonts w:ascii="Times New Roman Bold" w:hAnsi="Times New Roman Bold"/>
      <w:b/>
      <w:smallCaps/>
      <w:sz w:val="28"/>
    </w:rPr>
  </w:style>
  <w:style w:type="paragraph" w:styleId="Heading7">
    <w:name w:val="heading 7"/>
    <w:basedOn w:val="LFBase"/>
    <w:qFormat/>
    <w:pPr>
      <w:keepNext/>
      <w:keepLines/>
      <w:tabs>
        <w:tab w:val="left" w:pos="5400"/>
      </w:tabs>
      <w:outlineLvl w:val="6"/>
    </w:pPr>
  </w:style>
  <w:style w:type="paragraph" w:styleId="Heading8">
    <w:name w:val="heading 8"/>
    <w:basedOn w:val="LFBase"/>
    <w:qFormat/>
    <w:pPr>
      <w:keepNext/>
      <w:keepLines/>
      <w:tabs>
        <w:tab w:val="left" w:pos="5928"/>
      </w:tabs>
      <w:outlineLvl w:val="7"/>
    </w:pPr>
  </w:style>
  <w:style w:type="paragraph" w:styleId="Heading9">
    <w:name w:val="heading 9"/>
    <w:basedOn w:val="LFBase"/>
    <w:qFormat/>
    <w:pPr>
      <w:keepNext/>
      <w:keep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FBase">
    <w:name w:val="LF Base"/>
    <w:pPr>
      <w:widowControl w:val="0"/>
      <w:spacing w:line="240" w:lineRule="exact"/>
      <w:jc w:val="both"/>
    </w:pPr>
    <w:rPr>
      <w:rFonts w:eastAsia="MS Mincho"/>
      <w:sz w:val="24"/>
    </w:rPr>
  </w:style>
  <w:style w:type="paragraph" w:customStyle="1" w:styleId="LFAttorneyName">
    <w:name w:val="LF Attorney Name"/>
    <w:basedOn w:val="LFBase"/>
    <w:pPr>
      <w:keepNext/>
    </w:pPr>
  </w:style>
  <w:style w:type="paragraph" w:styleId="Salutation">
    <w:name w:val="Salutation"/>
    <w:basedOn w:val="Normal"/>
    <w:next w:val="Normal"/>
  </w:style>
  <w:style w:type="paragraph" w:styleId="Footer">
    <w:name w:val="footer"/>
    <w:basedOn w:val="LFBase"/>
    <w:link w:val="FooterChar"/>
    <w:uiPriority w:val="99"/>
    <w:pPr>
      <w:tabs>
        <w:tab w:val="center" w:pos="4680"/>
        <w:tab w:val="right" w:pos="9490"/>
      </w:tabs>
    </w:pPr>
  </w:style>
  <w:style w:type="paragraph" w:styleId="FootnoteText">
    <w:name w:val="footnote text"/>
    <w:basedOn w:val="LFBase"/>
    <w:link w:val="FootnoteTextChar"/>
    <w:uiPriority w:val="99"/>
    <w:pPr>
      <w:tabs>
        <w:tab w:val="left" w:pos="540"/>
      </w:tabs>
      <w:spacing w:after="240"/>
    </w:pPr>
  </w:style>
  <w:style w:type="character" w:styleId="FootnoteReference">
    <w:name w:val="footnote reference"/>
    <w:basedOn w:val="DefaultParagraphFont"/>
    <w:uiPriority w:val="99"/>
    <w:semiHidden/>
    <w:rPr>
      <w:vertAlign w:val="superscript"/>
    </w:rPr>
  </w:style>
  <w:style w:type="paragraph" w:styleId="ListBullet">
    <w:name w:val="List Bullet"/>
    <w:basedOn w:val="LFBase"/>
    <w:pPr>
      <w:widowControl/>
      <w:numPr>
        <w:numId w:val="5"/>
      </w:numPr>
      <w:spacing w:line="480" w:lineRule="exact"/>
    </w:pPr>
  </w:style>
  <w:style w:type="paragraph" w:styleId="ListBullet2">
    <w:name w:val="List Bullet 2"/>
    <w:basedOn w:val="LFBase"/>
    <w:pPr>
      <w:widowControl/>
      <w:numPr>
        <w:numId w:val="7"/>
      </w:numPr>
      <w:spacing w:line="480" w:lineRule="exact"/>
    </w:pPr>
  </w:style>
  <w:style w:type="paragraph" w:customStyle="1" w:styleId="LFSignatureAlt">
    <w:name w:val="LF Signature Alt"/>
    <w:basedOn w:val="LFBase"/>
    <w:pPr>
      <w:tabs>
        <w:tab w:val="left" w:pos="9360"/>
      </w:tabs>
      <w:jc w:val="left"/>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TOC1">
    <w:name w:val="toc 1"/>
    <w:basedOn w:val="LFBase"/>
    <w:next w:val="LFBase"/>
    <w:autoRedefine/>
    <w:semiHidden/>
    <w:pPr>
      <w:widowControl/>
      <w:tabs>
        <w:tab w:val="left" w:pos="720"/>
        <w:tab w:val="right" w:leader="dot" w:pos="9360"/>
      </w:tabs>
      <w:ind w:left="720" w:hanging="720"/>
      <w:jc w:val="left"/>
    </w:pPr>
  </w:style>
  <w:style w:type="paragraph" w:styleId="TOC2">
    <w:name w:val="toc 2"/>
    <w:basedOn w:val="LFBase"/>
    <w:next w:val="LFBase"/>
    <w:autoRedefine/>
    <w:semiHidden/>
    <w:pPr>
      <w:widowControl/>
      <w:tabs>
        <w:tab w:val="left" w:pos="1440"/>
        <w:tab w:val="right" w:leader="dot" w:pos="9360"/>
      </w:tabs>
      <w:ind w:left="1440" w:hanging="720"/>
      <w:jc w:val="left"/>
    </w:pPr>
    <w:rPr>
      <w:noProof/>
    </w:rPr>
  </w:style>
  <w:style w:type="paragraph" w:styleId="TOC3">
    <w:name w:val="toc 3"/>
    <w:basedOn w:val="LFBase"/>
    <w:next w:val="LFBase"/>
    <w:autoRedefine/>
    <w:semiHidden/>
    <w:pPr>
      <w:widowControl/>
      <w:tabs>
        <w:tab w:val="left" w:pos="2160"/>
        <w:tab w:val="right" w:leader="dot" w:pos="9360"/>
      </w:tabs>
      <w:ind w:left="2160" w:hanging="720"/>
      <w:jc w:val="left"/>
    </w:pPr>
    <w:rPr>
      <w:noProof/>
    </w:rPr>
  </w:style>
  <w:style w:type="paragraph" w:styleId="TOC4">
    <w:name w:val="toc 4"/>
    <w:basedOn w:val="LFBase"/>
    <w:next w:val="LFBase"/>
    <w:autoRedefine/>
    <w:semiHidden/>
    <w:pPr>
      <w:widowControl/>
      <w:tabs>
        <w:tab w:val="num" w:pos="2880"/>
        <w:tab w:val="right" w:leader="dot" w:pos="9360"/>
      </w:tabs>
      <w:ind w:left="2880" w:hanging="720"/>
      <w:jc w:val="left"/>
    </w:pPr>
    <w:rPr>
      <w:snapToGrid w:val="0"/>
    </w:rPr>
  </w:style>
  <w:style w:type="paragraph" w:styleId="TOC5">
    <w:name w:val="toc 5"/>
    <w:basedOn w:val="LFBase"/>
    <w:next w:val="LFBase"/>
    <w:autoRedefine/>
    <w:semiHidden/>
    <w:pPr>
      <w:widowControl/>
      <w:tabs>
        <w:tab w:val="left" w:pos="3600"/>
        <w:tab w:val="right" w:leader="dot" w:pos="9360"/>
      </w:tabs>
      <w:ind w:left="3600" w:hanging="720"/>
      <w:jc w:val="left"/>
    </w:pPr>
    <w:rPr>
      <w:snapToGrid w:val="0"/>
    </w:rPr>
  </w:style>
  <w:style w:type="paragraph" w:styleId="TOC6">
    <w:name w:val="toc 6"/>
    <w:basedOn w:val="LFBase"/>
    <w:next w:val="LFBase"/>
    <w:autoRedefine/>
    <w:semiHidden/>
    <w:pPr>
      <w:widowControl/>
      <w:tabs>
        <w:tab w:val="num" w:pos="4320"/>
        <w:tab w:val="right" w:leader="dot" w:pos="9360"/>
      </w:tabs>
      <w:ind w:left="4320" w:hanging="720"/>
      <w:jc w:val="left"/>
    </w:pPr>
    <w:rPr>
      <w:snapToGrid w:val="0"/>
    </w:rPr>
  </w:style>
  <w:style w:type="paragraph" w:styleId="TOC7">
    <w:name w:val="toc 7"/>
    <w:basedOn w:val="LFBase"/>
    <w:next w:val="LFBase"/>
    <w:autoRedefine/>
    <w:semiHidden/>
    <w:pPr>
      <w:widowControl/>
      <w:tabs>
        <w:tab w:val="left" w:pos="5040"/>
        <w:tab w:val="right" w:leader="dot" w:pos="9360"/>
      </w:tabs>
      <w:ind w:left="5040" w:hanging="720"/>
      <w:jc w:val="left"/>
    </w:pPr>
    <w:rPr>
      <w:snapToGrid w:val="0"/>
    </w:rPr>
  </w:style>
  <w:style w:type="paragraph" w:styleId="TOC8">
    <w:name w:val="toc 8"/>
    <w:basedOn w:val="LFBase"/>
    <w:next w:val="LFBase"/>
    <w:autoRedefine/>
    <w:semiHidden/>
    <w:pPr>
      <w:widowControl/>
      <w:tabs>
        <w:tab w:val="left" w:pos="5760"/>
        <w:tab w:val="right" w:leader="dot" w:pos="9360"/>
      </w:tabs>
      <w:ind w:left="5760" w:hanging="720"/>
      <w:jc w:val="left"/>
    </w:pPr>
    <w:rPr>
      <w:snapToGrid w:val="0"/>
    </w:rPr>
  </w:style>
  <w:style w:type="paragraph" w:styleId="TOC9">
    <w:name w:val="toc 9"/>
    <w:basedOn w:val="LFBase"/>
    <w:next w:val="LFBase"/>
    <w:autoRedefine/>
    <w:semiHidden/>
    <w:pPr>
      <w:widowControl/>
      <w:tabs>
        <w:tab w:val="left" w:pos="6480"/>
        <w:tab w:val="right" w:leader="dot" w:pos="9360"/>
      </w:tabs>
      <w:ind w:left="6480" w:hanging="720"/>
      <w:jc w:val="left"/>
    </w:pPr>
    <w:rPr>
      <w:snapToGrid w:val="0"/>
    </w:rPr>
  </w:style>
  <w:style w:type="paragraph" w:customStyle="1" w:styleId="LFPldNumbersinMargin">
    <w:name w:val="LF Pld Numbers in Margin"/>
    <w:basedOn w:val="LFBase"/>
    <w:pPr>
      <w:spacing w:line="480" w:lineRule="exact"/>
      <w:jc w:val="right"/>
    </w:pPr>
  </w:style>
  <w:style w:type="paragraph" w:customStyle="1" w:styleId="LFPldSignatureBlock">
    <w:name w:val="LF Pld Signature Block"/>
    <w:basedOn w:val="LFBase"/>
    <w:pPr>
      <w:jc w:val="left"/>
    </w:pPr>
    <w:rPr>
      <w:rFonts w:eastAsia="Times New Roman"/>
    </w:rPr>
  </w:style>
  <w:style w:type="paragraph" w:customStyle="1" w:styleId="LFBody10After">
    <w:name w:val="LF Body 1 0 After"/>
    <w:basedOn w:val="LFBase"/>
    <w:pPr>
      <w:widowControl/>
    </w:pPr>
  </w:style>
  <w:style w:type="paragraph" w:styleId="Closing">
    <w:name w:val="Closing"/>
    <w:basedOn w:val="LFBase"/>
    <w:pPr>
      <w:tabs>
        <w:tab w:val="left" w:pos="4845"/>
        <w:tab w:val="left" w:pos="5760"/>
        <w:tab w:val="left" w:pos="9360"/>
      </w:tabs>
      <w:ind w:left="4320"/>
    </w:pPr>
  </w:style>
  <w:style w:type="paragraph" w:styleId="TableofAuthorities">
    <w:name w:val="table of authorities"/>
    <w:basedOn w:val="LFBase"/>
    <w:next w:val="LFBase"/>
    <w:autoRedefine/>
    <w:semiHidden/>
    <w:pPr>
      <w:tabs>
        <w:tab w:val="left" w:pos="720"/>
        <w:tab w:val="right" w:leader="dot" w:pos="9180"/>
      </w:tabs>
      <w:jc w:val="left"/>
    </w:pPr>
    <w:rPr>
      <w:noProof/>
    </w:rPr>
  </w:style>
  <w:style w:type="paragraph" w:styleId="TOAHeading">
    <w:name w:val="toa heading"/>
    <w:basedOn w:val="LFBase"/>
    <w:next w:val="LFBase"/>
    <w:autoRedefine/>
    <w:semiHidden/>
    <w:pPr>
      <w:spacing w:line="480" w:lineRule="exact"/>
      <w:jc w:val="left"/>
    </w:pPr>
    <w:rPr>
      <w:rFonts w:ascii="Times New Roman Bold" w:hAnsi="Times New Roman Bold"/>
      <w:b/>
      <w:bCs/>
      <w:noProof/>
      <w:szCs w:val="24"/>
    </w:rPr>
  </w:style>
  <w:style w:type="paragraph" w:customStyle="1" w:styleId="LineNumber1">
    <w:name w:val="Line Number1"/>
    <w:pPr>
      <w:widowControl w:val="0"/>
      <w:spacing w:after="240" w:line="240" w:lineRule="exact"/>
      <w:jc w:val="right"/>
    </w:pPr>
    <w:rPr>
      <w:sz w:val="24"/>
    </w:rPr>
  </w:style>
  <w:style w:type="character" w:styleId="FollowedHyperlink">
    <w:name w:val="FollowedHyperlink"/>
    <w:basedOn w:val="DefaultParagraphFont"/>
    <w:rPr>
      <w:color w:val="800080"/>
      <w:u w:val="single"/>
    </w:rPr>
  </w:style>
  <w:style w:type="paragraph" w:styleId="Header">
    <w:name w:val="header"/>
    <w:basedOn w:val="LFBase"/>
    <w:pPr>
      <w:tabs>
        <w:tab w:val="center" w:pos="4680"/>
        <w:tab w:val="right" w:pos="9450"/>
      </w:tabs>
    </w:pPr>
  </w:style>
  <w:style w:type="paragraph" w:customStyle="1" w:styleId="LFPropoundInfo">
    <w:name w:val="LF Propound Info"/>
    <w:basedOn w:val="LFBase"/>
    <w:pPr>
      <w:tabs>
        <w:tab w:val="left" w:pos="2880"/>
      </w:tabs>
      <w:spacing w:after="240"/>
      <w:ind w:left="2880" w:hanging="2880"/>
      <w:jc w:val="left"/>
    </w:pPr>
  </w:style>
  <w:style w:type="paragraph" w:customStyle="1" w:styleId="LFTOCTOAFLUSHRGT">
    <w:name w:val="LF TOC/TOA FLUSH RGT"/>
    <w:basedOn w:val="LFBase"/>
    <w:pPr>
      <w:jc w:val="right"/>
    </w:pPr>
    <w:rPr>
      <w:b/>
      <w:u w:val="single"/>
    </w:rPr>
  </w:style>
  <w:style w:type="paragraph" w:customStyle="1" w:styleId="LFTOCTOAHEADING">
    <w:name w:val="LF TOC/TOA HEADING"/>
    <w:basedOn w:val="LFBase"/>
    <w:pPr>
      <w:jc w:val="center"/>
    </w:pPr>
    <w:rPr>
      <w:b/>
      <w:caps/>
      <w:u w:val="single"/>
    </w:rPr>
  </w:style>
  <w:style w:type="paragraph" w:customStyle="1" w:styleId="LFBody1">
    <w:name w:val="LF Body 1"/>
    <w:basedOn w:val="LFBase"/>
    <w:pPr>
      <w:spacing w:after="240"/>
    </w:pPr>
  </w:style>
  <w:style w:type="paragraph" w:customStyle="1" w:styleId="LFBody1BlockInd">
    <w:name w:val="LF Body 1 Block Ind"/>
    <w:basedOn w:val="LFBase"/>
    <w:pPr>
      <w:spacing w:after="240"/>
      <w:ind w:left="720" w:right="720"/>
    </w:pPr>
  </w:style>
  <w:style w:type="paragraph" w:customStyle="1" w:styleId="LFBody1HangInd">
    <w:name w:val="LF Body 1 Hang Ind"/>
    <w:basedOn w:val="LFBase"/>
    <w:pPr>
      <w:spacing w:after="240"/>
      <w:ind w:left="720" w:hanging="720"/>
    </w:pPr>
  </w:style>
  <w:style w:type="paragraph" w:customStyle="1" w:styleId="LFBody1LeftInd">
    <w:name w:val="LF Body 1 Left Ind"/>
    <w:basedOn w:val="LFBase"/>
    <w:pPr>
      <w:spacing w:after="240"/>
      <w:ind w:left="720"/>
    </w:pPr>
  </w:style>
  <w:style w:type="paragraph" w:customStyle="1" w:styleId="LFBody1Tab">
    <w:name w:val="LF Body 1 Tab"/>
    <w:basedOn w:val="LFBase"/>
    <w:pPr>
      <w:spacing w:after="240"/>
      <w:ind w:firstLine="720"/>
    </w:pPr>
  </w:style>
  <w:style w:type="paragraph" w:customStyle="1" w:styleId="LFBody2">
    <w:name w:val="LF Body 2"/>
    <w:basedOn w:val="LFBase"/>
    <w:pPr>
      <w:spacing w:line="480" w:lineRule="exact"/>
    </w:pPr>
  </w:style>
  <w:style w:type="paragraph" w:customStyle="1" w:styleId="LFBody2BlockInd">
    <w:name w:val="LF Body 2 Block Ind"/>
    <w:basedOn w:val="LFBase"/>
    <w:pPr>
      <w:spacing w:line="480" w:lineRule="exact"/>
      <w:ind w:left="720" w:right="720"/>
    </w:pPr>
  </w:style>
  <w:style w:type="paragraph" w:customStyle="1" w:styleId="LFBody2HangInd">
    <w:name w:val="LF Body 2 Hang Ind"/>
    <w:basedOn w:val="LFBase"/>
    <w:pPr>
      <w:spacing w:line="480" w:lineRule="exact"/>
      <w:ind w:left="720" w:hanging="720"/>
    </w:pPr>
  </w:style>
  <w:style w:type="paragraph" w:customStyle="1" w:styleId="LFBody2LeftInd">
    <w:name w:val="LF Body 2 Left Ind"/>
    <w:basedOn w:val="LFBase"/>
    <w:pPr>
      <w:spacing w:line="480" w:lineRule="exact"/>
      <w:ind w:left="720"/>
    </w:pPr>
  </w:style>
  <w:style w:type="paragraph" w:customStyle="1" w:styleId="LFBody2Tab">
    <w:name w:val="LF Body 2 Tab"/>
    <w:basedOn w:val="LFBase"/>
    <w:pPr>
      <w:spacing w:line="480" w:lineRule="exact"/>
      <w:ind w:firstLine="720"/>
    </w:pPr>
  </w:style>
  <w:style w:type="paragraph" w:styleId="ListBullet3">
    <w:name w:val="List Bullet 3"/>
    <w:basedOn w:val="LFBase"/>
    <w:pPr>
      <w:widowControl/>
      <w:numPr>
        <w:numId w:val="9"/>
      </w:numPr>
      <w:spacing w:line="480" w:lineRule="exact"/>
    </w:pPr>
  </w:style>
  <w:style w:type="paragraph" w:customStyle="1" w:styleId="LFIndex">
    <w:name w:val="LF Index"/>
    <w:basedOn w:val="LFBase"/>
    <w:pPr>
      <w:tabs>
        <w:tab w:val="right" w:pos="9360"/>
      </w:tabs>
      <w:spacing w:after="240"/>
      <w:jc w:val="left"/>
    </w:pPr>
  </w:style>
  <w:style w:type="paragraph" w:customStyle="1" w:styleId="LFIndexDotLeader">
    <w:name w:val="LF Index Dot Leader"/>
    <w:basedOn w:val="LFBase"/>
    <w:pPr>
      <w:tabs>
        <w:tab w:val="right" w:leader="dot" w:pos="9360"/>
      </w:tabs>
      <w:spacing w:after="240"/>
      <w:jc w:val="left"/>
    </w:pPr>
  </w:style>
  <w:style w:type="paragraph" w:customStyle="1" w:styleId="LFPersonalBody1-A">
    <w:name w:val="LF Personal Body 1 - A"/>
    <w:basedOn w:val="LFBase"/>
    <w:pPr>
      <w:spacing w:after="240"/>
    </w:pPr>
  </w:style>
  <w:style w:type="paragraph" w:customStyle="1" w:styleId="LFPersonalBody1-B">
    <w:name w:val="LF Personal Body 1 - B"/>
    <w:basedOn w:val="LFBase"/>
    <w:pPr>
      <w:spacing w:after="240"/>
    </w:pPr>
  </w:style>
  <w:style w:type="paragraph" w:customStyle="1" w:styleId="LFPersonalBody1-C">
    <w:name w:val="LF Personal Body 1 - C"/>
    <w:basedOn w:val="LFBase"/>
    <w:pPr>
      <w:spacing w:after="240"/>
    </w:pPr>
  </w:style>
  <w:style w:type="paragraph" w:customStyle="1" w:styleId="LFPersonalBody2-A">
    <w:name w:val="LF Personal Body 2 - A"/>
    <w:basedOn w:val="LFBase"/>
    <w:pPr>
      <w:spacing w:line="480" w:lineRule="exact"/>
    </w:pPr>
  </w:style>
  <w:style w:type="paragraph" w:customStyle="1" w:styleId="LFPersonalBody2-B">
    <w:name w:val="LF Personal Body 2 - B"/>
    <w:basedOn w:val="LFBase"/>
    <w:pPr>
      <w:spacing w:line="480" w:lineRule="exact"/>
    </w:pPr>
  </w:style>
  <w:style w:type="paragraph" w:customStyle="1" w:styleId="LFPersonalBody2-C">
    <w:name w:val="LF Personal Body 2 - C"/>
    <w:basedOn w:val="LFBase"/>
    <w:pPr>
      <w:spacing w:line="480" w:lineRule="exact"/>
    </w:pPr>
  </w:style>
  <w:style w:type="paragraph" w:customStyle="1" w:styleId="LFPersonalHeading1-A">
    <w:name w:val="LF Personal Heading 1 - A"/>
    <w:basedOn w:val="LFBase"/>
    <w:pPr>
      <w:keepNext/>
      <w:keepLines/>
      <w:spacing w:after="240"/>
      <w:jc w:val="center"/>
    </w:pPr>
  </w:style>
  <w:style w:type="paragraph" w:customStyle="1" w:styleId="LFPersonalHeading1-B">
    <w:name w:val="LF Personal Heading 1 - B"/>
    <w:basedOn w:val="LFBase"/>
    <w:pPr>
      <w:keepNext/>
      <w:keepLines/>
      <w:spacing w:after="240"/>
      <w:jc w:val="center"/>
    </w:pPr>
  </w:style>
  <w:style w:type="paragraph" w:customStyle="1" w:styleId="LFPersonalHeading2-A">
    <w:name w:val="LF Personal Heading 2 - A"/>
    <w:basedOn w:val="LFBase"/>
    <w:pPr>
      <w:keepNext/>
      <w:keepLines/>
      <w:spacing w:line="480" w:lineRule="exact"/>
      <w:jc w:val="center"/>
    </w:pPr>
  </w:style>
  <w:style w:type="paragraph" w:customStyle="1" w:styleId="LFPersonalHeading2-B">
    <w:name w:val="LF Personal Heading 2 - B"/>
    <w:basedOn w:val="LFBase"/>
    <w:pPr>
      <w:keepNext/>
      <w:keepLines/>
      <w:spacing w:line="480" w:lineRule="exact"/>
      <w:jc w:val="center"/>
    </w:pPr>
  </w:style>
  <w:style w:type="paragraph" w:customStyle="1" w:styleId="LFTableCenter">
    <w:name w:val="LF Table Center"/>
    <w:basedOn w:val="LFBase"/>
    <w:pPr>
      <w:jc w:val="center"/>
    </w:pPr>
  </w:style>
  <w:style w:type="paragraph" w:customStyle="1" w:styleId="LFTableLeft">
    <w:name w:val="LF Table Left"/>
    <w:basedOn w:val="LFBase"/>
    <w:pPr>
      <w:jc w:val="left"/>
    </w:pPr>
  </w:style>
  <w:style w:type="paragraph" w:customStyle="1" w:styleId="LFTableRight">
    <w:name w:val="LF Table Right"/>
    <w:basedOn w:val="LFBase"/>
    <w:pPr>
      <w:jc w:val="right"/>
    </w:pPr>
  </w:style>
  <w:style w:type="paragraph" w:styleId="ListBullet4">
    <w:name w:val="List Bullet 4"/>
    <w:basedOn w:val="LFBase"/>
    <w:pPr>
      <w:widowControl/>
      <w:numPr>
        <w:numId w:val="11"/>
      </w:numPr>
      <w:spacing w:line="480" w:lineRule="exact"/>
    </w:pPr>
  </w:style>
  <w:style w:type="paragraph" w:styleId="ListBullet5">
    <w:name w:val="List Bullet 5"/>
    <w:basedOn w:val="LFBase"/>
    <w:pPr>
      <w:widowControl/>
      <w:numPr>
        <w:numId w:val="13"/>
      </w:numPr>
      <w:spacing w:line="480" w:lineRule="exact"/>
    </w:pPr>
  </w:style>
  <w:style w:type="paragraph" w:customStyle="1" w:styleId="LFCheckbox">
    <w:name w:val="LF Checkbox"/>
    <w:basedOn w:val="LFBase"/>
    <w:pPr>
      <w:numPr>
        <w:numId w:val="1"/>
      </w:numPr>
      <w:tabs>
        <w:tab w:val="clear" w:pos="720"/>
      </w:tabs>
      <w:spacing w:after="240"/>
      <w:ind w:hanging="720"/>
    </w:pPr>
  </w:style>
  <w:style w:type="paragraph" w:customStyle="1" w:styleId="LF123">
    <w:name w:val="LF 123"/>
    <w:basedOn w:val="LFBase"/>
    <w:pPr>
      <w:widowControl/>
      <w:numPr>
        <w:numId w:val="2"/>
      </w:numPr>
      <w:tabs>
        <w:tab w:val="clear" w:pos="1080"/>
        <w:tab w:val="num" w:pos="1440"/>
      </w:tabs>
      <w:spacing w:line="480" w:lineRule="exact"/>
    </w:pPr>
  </w:style>
  <w:style w:type="paragraph" w:customStyle="1" w:styleId="LFABC">
    <w:name w:val="LF ABC"/>
    <w:basedOn w:val="LFBase"/>
    <w:pPr>
      <w:widowControl/>
      <w:numPr>
        <w:numId w:val="3"/>
      </w:numPr>
      <w:tabs>
        <w:tab w:val="clear" w:pos="1080"/>
        <w:tab w:val="num" w:pos="1440"/>
      </w:tabs>
      <w:spacing w:line="480" w:lineRule="exact"/>
    </w:pPr>
  </w:style>
  <w:style w:type="paragraph" w:customStyle="1" w:styleId="LFAddendumExh">
    <w:name w:val="LF Addendum/Exh."/>
    <w:basedOn w:val="LFBase"/>
    <w:pPr>
      <w:widowControl/>
      <w:tabs>
        <w:tab w:val="left" w:pos="3600"/>
      </w:tabs>
      <w:ind w:left="3600" w:hanging="2880"/>
    </w:pPr>
  </w:style>
  <w:style w:type="paragraph" w:customStyle="1" w:styleId="LFAddressIndented">
    <w:name w:val="LF Address Indented"/>
    <w:basedOn w:val="LFBase"/>
    <w:pPr>
      <w:keepNext/>
      <w:widowControl/>
      <w:tabs>
        <w:tab w:val="left" w:pos="3600"/>
      </w:tabs>
      <w:ind w:left="720"/>
      <w:jc w:val="left"/>
    </w:pPr>
  </w:style>
  <w:style w:type="paragraph" w:customStyle="1" w:styleId="LFBlockIndent10">
    <w:name w:val="LF Block Indent 1.0"/>
    <w:basedOn w:val="LFBase"/>
    <w:pPr>
      <w:widowControl/>
      <w:spacing w:after="240"/>
      <w:ind w:left="1440" w:right="1440"/>
    </w:pPr>
  </w:style>
  <w:style w:type="paragraph" w:customStyle="1" w:styleId="LFBlockIndentAlt">
    <w:name w:val="LF Block Indent Alt"/>
    <w:basedOn w:val="LFBase"/>
    <w:pPr>
      <w:widowControl/>
      <w:tabs>
        <w:tab w:val="left" w:pos="2160"/>
      </w:tabs>
      <w:spacing w:after="240"/>
      <w:ind w:left="2160" w:right="-43" w:hanging="720"/>
      <w:jc w:val="left"/>
    </w:pPr>
  </w:style>
  <w:style w:type="paragraph" w:customStyle="1" w:styleId="LFCenterAlt">
    <w:name w:val="LF Center Alt"/>
    <w:basedOn w:val="LFBase"/>
    <w:pPr>
      <w:widowControl/>
      <w:jc w:val="center"/>
    </w:pPr>
  </w:style>
  <w:style w:type="paragraph" w:customStyle="1" w:styleId="LFTableTextAlt">
    <w:name w:val="LF Table Text Alt"/>
    <w:basedOn w:val="LFBase"/>
    <w:pPr>
      <w:widowControl/>
      <w:jc w:val="left"/>
    </w:pPr>
  </w:style>
  <w:style w:type="paragraph" w:customStyle="1" w:styleId="LFTableTextBold">
    <w:name w:val="LF Table Text Bold"/>
    <w:basedOn w:val="LFBase"/>
    <w:pPr>
      <w:widowControl/>
      <w:jc w:val="left"/>
    </w:pPr>
    <w:rPr>
      <w:rFonts w:ascii="Times New Roman Bold" w:hAnsi="Times New Roman Bold"/>
      <w:b/>
      <w:bCs/>
    </w:rPr>
  </w:style>
  <w:style w:type="paragraph" w:customStyle="1" w:styleId="LFTitleCtrBold-Und">
    <w:name w:val="LF Title Ctr Bold-Und"/>
    <w:basedOn w:val="LFBase"/>
    <w:pPr>
      <w:keepNext/>
      <w:widowControl/>
      <w:spacing w:after="240"/>
      <w:jc w:val="center"/>
    </w:pPr>
    <w:rPr>
      <w:rFonts w:ascii="Times New Roman Bold" w:hAnsi="Times New Roman Bold"/>
      <w:b/>
      <w:u w:val="single"/>
    </w:rPr>
  </w:style>
  <w:style w:type="paragraph" w:customStyle="1" w:styleId="LFTitleLeftBold-Undds">
    <w:name w:val="LF Title Left Bold-Und ds"/>
    <w:basedOn w:val="LFBase"/>
    <w:pPr>
      <w:keepNext/>
      <w:widowControl/>
      <w:spacing w:after="240"/>
    </w:pPr>
    <w:rPr>
      <w:b/>
      <w:u w:val="single"/>
    </w:rPr>
  </w:style>
  <w:style w:type="paragraph" w:customStyle="1" w:styleId="LFSignatureBlock">
    <w:name w:val="LF Signature Block"/>
    <w:basedOn w:val="LFBase"/>
    <w:pPr>
      <w:widowControl/>
      <w:tabs>
        <w:tab w:val="left" w:pos="5040"/>
        <w:tab w:val="left" w:pos="9450"/>
      </w:tabs>
      <w:ind w:left="4320"/>
      <w:jc w:val="left"/>
    </w:pPr>
  </w:style>
  <w:style w:type="paragraph" w:customStyle="1" w:styleId="LFTableText">
    <w:name w:val="LF Table Text"/>
    <w:basedOn w:val="LFBase"/>
    <w:pPr>
      <w:widowControl/>
      <w:tabs>
        <w:tab w:val="left" w:pos="540"/>
        <w:tab w:val="left" w:pos="4500"/>
      </w:tabs>
      <w:jc w:val="left"/>
    </w:pPr>
  </w:style>
  <w:style w:type="paragraph" w:customStyle="1" w:styleId="LFBody1Tab1">
    <w:name w:val="LF Body 1 Tab 1&quot;"/>
    <w:basedOn w:val="LFBase"/>
    <w:pPr>
      <w:widowControl/>
      <w:spacing w:after="240"/>
      <w:ind w:firstLine="1440"/>
    </w:pPr>
  </w:style>
  <w:style w:type="paragraph" w:customStyle="1" w:styleId="LFBody1Tab15">
    <w:name w:val="LF Body 1 Tab 1.5&quot;"/>
    <w:basedOn w:val="LFBase"/>
    <w:pPr>
      <w:widowControl/>
      <w:spacing w:after="240"/>
      <w:ind w:firstLine="2160"/>
    </w:pPr>
  </w:style>
  <w:style w:type="paragraph" w:customStyle="1" w:styleId="LFBody2Tab1">
    <w:name w:val="LF Body 2 Tab 1&quot;"/>
    <w:basedOn w:val="LFBase"/>
    <w:pPr>
      <w:widowControl/>
      <w:spacing w:line="480" w:lineRule="exact"/>
      <w:ind w:firstLine="1440"/>
    </w:pPr>
  </w:style>
  <w:style w:type="paragraph" w:customStyle="1" w:styleId="LFBody2Tab15">
    <w:name w:val="LF Body 2 Tab 1.5&quot;"/>
    <w:basedOn w:val="LFBase"/>
    <w:pPr>
      <w:widowControl/>
      <w:spacing w:line="480" w:lineRule="exact"/>
      <w:ind w:firstLine="2160"/>
    </w:pPr>
  </w:style>
  <w:style w:type="paragraph" w:customStyle="1" w:styleId="LFHdgCenter">
    <w:name w:val="LF Hdg Center"/>
    <w:basedOn w:val="LFBase"/>
    <w:pPr>
      <w:keepNext/>
      <w:keepLines/>
      <w:widowControl/>
      <w:suppressAutoHyphens/>
      <w:spacing w:after="240"/>
      <w:jc w:val="center"/>
    </w:pPr>
    <w:rPr>
      <w:rFonts w:eastAsia="SimSun"/>
    </w:rPr>
  </w:style>
  <w:style w:type="paragraph" w:customStyle="1" w:styleId="LFHdgCenterBold">
    <w:name w:val="LF Hdg Center Bold"/>
    <w:basedOn w:val="LFBase"/>
    <w:pPr>
      <w:keepNext/>
      <w:keepLines/>
      <w:widowControl/>
      <w:suppressAutoHyphens/>
      <w:spacing w:after="240"/>
      <w:jc w:val="center"/>
    </w:pPr>
    <w:rPr>
      <w:rFonts w:eastAsia="SimSun"/>
      <w:b/>
    </w:rPr>
  </w:style>
  <w:style w:type="paragraph" w:customStyle="1" w:styleId="LFHdgCenterBold-Italic">
    <w:name w:val="LF Hdg Center Bold-Italic"/>
    <w:basedOn w:val="LFBase"/>
    <w:pPr>
      <w:keepNext/>
      <w:keepLines/>
      <w:widowControl/>
      <w:suppressAutoHyphens/>
      <w:spacing w:after="240"/>
      <w:jc w:val="center"/>
    </w:pPr>
    <w:rPr>
      <w:rFonts w:eastAsia="SimSun"/>
      <w:b/>
      <w:i/>
    </w:rPr>
  </w:style>
  <w:style w:type="paragraph" w:customStyle="1" w:styleId="LFHdgCenterBold-Und">
    <w:name w:val="LF Hdg Center Bold-Und"/>
    <w:basedOn w:val="LFBase"/>
    <w:pPr>
      <w:keepNext/>
      <w:keepLines/>
      <w:widowControl/>
      <w:suppressAutoHyphens/>
      <w:spacing w:after="240"/>
      <w:jc w:val="center"/>
    </w:pPr>
    <w:rPr>
      <w:rFonts w:eastAsia="SimSun"/>
      <w:b/>
      <w:u w:val="single"/>
    </w:rPr>
  </w:style>
  <w:style w:type="paragraph" w:customStyle="1" w:styleId="LFHdgCenterBold-Und-Italic">
    <w:name w:val="LF Hdg Center Bold-Und-Italic"/>
    <w:basedOn w:val="LFBase"/>
    <w:pPr>
      <w:keepNext/>
      <w:keepLines/>
      <w:widowControl/>
      <w:suppressAutoHyphens/>
      <w:spacing w:after="240"/>
      <w:jc w:val="center"/>
    </w:pPr>
    <w:rPr>
      <w:rFonts w:eastAsia="SimSun"/>
      <w:b/>
      <w:i/>
      <w:u w:val="single"/>
    </w:rPr>
  </w:style>
  <w:style w:type="paragraph" w:customStyle="1" w:styleId="LFHdgCenterItalic">
    <w:name w:val="LF Hdg Center Italic"/>
    <w:basedOn w:val="LFBase"/>
    <w:pPr>
      <w:keepNext/>
      <w:keepLines/>
      <w:widowControl/>
      <w:suppressAutoHyphens/>
      <w:spacing w:after="240"/>
      <w:jc w:val="center"/>
    </w:pPr>
    <w:rPr>
      <w:rFonts w:eastAsia="SimSun"/>
      <w:i/>
    </w:rPr>
  </w:style>
  <w:style w:type="paragraph" w:customStyle="1" w:styleId="LFHdgCenterUnd">
    <w:name w:val="LF Hdg Center Und"/>
    <w:basedOn w:val="LFBase"/>
    <w:pPr>
      <w:keepNext/>
      <w:keepLines/>
      <w:widowControl/>
      <w:suppressAutoHyphens/>
      <w:spacing w:after="240"/>
      <w:jc w:val="center"/>
    </w:pPr>
    <w:rPr>
      <w:rFonts w:eastAsia="SimSun"/>
      <w:u w:val="single"/>
    </w:rPr>
  </w:style>
  <w:style w:type="paragraph" w:customStyle="1" w:styleId="LFHdgLeft">
    <w:name w:val="LF Hdg Left"/>
    <w:basedOn w:val="LFBase"/>
    <w:pPr>
      <w:keepNext/>
      <w:keepLines/>
      <w:widowControl/>
      <w:suppressAutoHyphens/>
      <w:spacing w:after="240"/>
    </w:pPr>
    <w:rPr>
      <w:rFonts w:eastAsia="SimSun"/>
    </w:rPr>
  </w:style>
  <w:style w:type="paragraph" w:customStyle="1" w:styleId="LFHdgLeftBold">
    <w:name w:val="LF Hdg Left Bold"/>
    <w:basedOn w:val="LFBase"/>
    <w:pPr>
      <w:keepNext/>
      <w:keepLines/>
      <w:widowControl/>
      <w:suppressAutoHyphens/>
      <w:spacing w:after="240"/>
    </w:pPr>
    <w:rPr>
      <w:rFonts w:eastAsia="SimSun"/>
      <w:b/>
    </w:rPr>
  </w:style>
  <w:style w:type="paragraph" w:customStyle="1" w:styleId="LFHdgLeftBold-Italic">
    <w:name w:val="LF Hdg Left Bold-Italic"/>
    <w:basedOn w:val="LFBase"/>
    <w:pPr>
      <w:keepNext/>
      <w:keepLines/>
      <w:widowControl/>
      <w:suppressAutoHyphens/>
      <w:spacing w:after="240"/>
    </w:pPr>
    <w:rPr>
      <w:rFonts w:eastAsia="SimSun"/>
      <w:b/>
      <w:i/>
    </w:rPr>
  </w:style>
  <w:style w:type="paragraph" w:customStyle="1" w:styleId="LFHdgLeftBold-Und">
    <w:name w:val="LF Hdg Left Bold-Und"/>
    <w:basedOn w:val="LFBase"/>
    <w:pPr>
      <w:keepNext/>
      <w:keepLines/>
      <w:widowControl/>
      <w:suppressAutoHyphens/>
      <w:spacing w:after="240"/>
    </w:pPr>
    <w:rPr>
      <w:rFonts w:eastAsia="SimSun"/>
      <w:b/>
      <w:u w:val="single"/>
    </w:rPr>
  </w:style>
  <w:style w:type="paragraph" w:customStyle="1" w:styleId="LFHdgLeftBold-Und-Italic">
    <w:name w:val="LF Hdg Left Bold-Und-Italic"/>
    <w:basedOn w:val="LFBase"/>
    <w:pPr>
      <w:keepNext/>
      <w:keepLines/>
      <w:widowControl/>
      <w:suppressAutoHyphens/>
      <w:spacing w:after="240"/>
    </w:pPr>
    <w:rPr>
      <w:rFonts w:eastAsia="SimSun"/>
      <w:b/>
      <w:i/>
      <w:u w:val="single"/>
    </w:rPr>
  </w:style>
  <w:style w:type="paragraph" w:customStyle="1" w:styleId="LFHdgLeftItalic">
    <w:name w:val="LF Hdg Left Italic"/>
    <w:basedOn w:val="LFBase"/>
    <w:pPr>
      <w:keepNext/>
      <w:keepLines/>
      <w:widowControl/>
      <w:suppressAutoHyphens/>
      <w:spacing w:after="240"/>
    </w:pPr>
    <w:rPr>
      <w:rFonts w:eastAsia="SimSun"/>
      <w:i/>
    </w:rPr>
  </w:style>
  <w:style w:type="paragraph" w:customStyle="1" w:styleId="LFHdgLeftUnd">
    <w:name w:val="LF Hdg Left Und"/>
    <w:basedOn w:val="LFBase"/>
    <w:pPr>
      <w:keepNext/>
      <w:keepLines/>
      <w:widowControl/>
      <w:suppressAutoHyphens/>
      <w:spacing w:after="240"/>
    </w:pPr>
    <w:rPr>
      <w:rFonts w:eastAsia="SimSun"/>
      <w:u w:val="single"/>
    </w:rPr>
  </w:style>
  <w:style w:type="paragraph" w:customStyle="1" w:styleId="LFHdgRight">
    <w:name w:val="LF Hdg Right"/>
    <w:basedOn w:val="LFBase"/>
    <w:pPr>
      <w:keepNext/>
      <w:keepLines/>
      <w:widowControl/>
      <w:suppressAutoHyphens/>
      <w:spacing w:after="240"/>
      <w:jc w:val="right"/>
    </w:pPr>
    <w:rPr>
      <w:rFonts w:eastAsia="SimSun"/>
    </w:rPr>
  </w:style>
  <w:style w:type="paragraph" w:customStyle="1" w:styleId="LFHdgRightBold">
    <w:name w:val="LF Hdg Right Bold"/>
    <w:basedOn w:val="LFBase"/>
    <w:pPr>
      <w:keepNext/>
      <w:keepLines/>
      <w:widowControl/>
      <w:suppressAutoHyphens/>
      <w:spacing w:after="240"/>
      <w:jc w:val="right"/>
    </w:pPr>
    <w:rPr>
      <w:rFonts w:eastAsia="SimSun"/>
      <w:b/>
    </w:rPr>
  </w:style>
  <w:style w:type="paragraph" w:customStyle="1" w:styleId="LFHdgRightBold-Italic">
    <w:name w:val="LF Hdg Right Bold-Italic"/>
    <w:basedOn w:val="LFBase"/>
    <w:pPr>
      <w:keepNext/>
      <w:keepLines/>
      <w:widowControl/>
      <w:suppressAutoHyphens/>
      <w:spacing w:after="240"/>
      <w:jc w:val="right"/>
    </w:pPr>
    <w:rPr>
      <w:rFonts w:eastAsia="SimSun"/>
      <w:b/>
      <w:i/>
    </w:rPr>
  </w:style>
  <w:style w:type="paragraph" w:customStyle="1" w:styleId="LFHdgRightBold-Und">
    <w:name w:val="LF Hdg Right Bold-Und"/>
    <w:basedOn w:val="LFBase"/>
    <w:pPr>
      <w:keepNext/>
      <w:keepLines/>
      <w:widowControl/>
      <w:suppressAutoHyphens/>
      <w:spacing w:after="240"/>
      <w:jc w:val="right"/>
    </w:pPr>
    <w:rPr>
      <w:rFonts w:eastAsia="SimSun"/>
      <w:b/>
      <w:u w:val="single"/>
    </w:rPr>
  </w:style>
  <w:style w:type="paragraph" w:customStyle="1" w:styleId="LFHdgRightBold-Und-Italic">
    <w:name w:val="LF Hdg Right Bold-Und-Italic"/>
    <w:basedOn w:val="LFBase"/>
    <w:pPr>
      <w:keepNext/>
      <w:keepLines/>
      <w:widowControl/>
      <w:suppressAutoHyphens/>
      <w:spacing w:after="240"/>
      <w:jc w:val="right"/>
    </w:pPr>
    <w:rPr>
      <w:rFonts w:eastAsia="SimSun"/>
      <w:b/>
      <w:i/>
      <w:u w:val="single"/>
    </w:rPr>
  </w:style>
  <w:style w:type="paragraph" w:customStyle="1" w:styleId="LFHdgRightItalic">
    <w:name w:val="LF Hdg Right Italic"/>
    <w:basedOn w:val="LFBase"/>
    <w:pPr>
      <w:keepNext/>
      <w:keepLines/>
      <w:widowControl/>
      <w:suppressAutoHyphens/>
      <w:spacing w:after="240"/>
      <w:jc w:val="right"/>
    </w:pPr>
    <w:rPr>
      <w:rFonts w:eastAsia="SimSun"/>
      <w:i/>
    </w:rPr>
  </w:style>
  <w:style w:type="paragraph" w:customStyle="1" w:styleId="LFHdgRightUnd">
    <w:name w:val="LF Hdg Right Und"/>
    <w:basedOn w:val="LFBase"/>
    <w:pPr>
      <w:keepNext/>
      <w:keepLines/>
      <w:widowControl/>
      <w:suppressAutoHyphens/>
      <w:spacing w:after="240"/>
      <w:jc w:val="right"/>
    </w:pPr>
    <w:rPr>
      <w:rFonts w:eastAsia="SimSun"/>
      <w:u w:val="single"/>
    </w:rPr>
  </w:style>
  <w:style w:type="paragraph" w:customStyle="1" w:styleId="LFNon-NumberedHdg1">
    <w:name w:val="LF Non-Numbered Hdg 1"/>
    <w:basedOn w:val="Normal"/>
    <w:pPr>
      <w:keepNext/>
      <w:keepLines/>
      <w:widowControl/>
      <w:suppressAutoHyphens/>
      <w:spacing w:after="240"/>
      <w:jc w:val="center"/>
      <w:outlineLvl w:val="0"/>
    </w:pPr>
    <w:rPr>
      <w:rFonts w:eastAsia="SimSun"/>
      <w:b/>
      <w:u w:val="single"/>
      <w:lang w:eastAsia="zh-CN"/>
    </w:rPr>
  </w:style>
  <w:style w:type="paragraph" w:customStyle="1" w:styleId="LFNon-NumberedHdg2">
    <w:name w:val="LF Non-Numbered Hdg 2"/>
    <w:basedOn w:val="Normal"/>
    <w:pPr>
      <w:keepNext/>
      <w:keepLines/>
      <w:widowControl/>
      <w:suppressAutoHyphens/>
      <w:spacing w:after="240"/>
      <w:outlineLvl w:val="1"/>
    </w:pPr>
    <w:rPr>
      <w:rFonts w:eastAsia="SimSun"/>
      <w:b/>
      <w:lang w:eastAsia="zh-CN"/>
    </w:rPr>
  </w:style>
  <w:style w:type="paragraph" w:customStyle="1" w:styleId="LFNon-NumberedHdg3">
    <w:name w:val="LF Non-Numbered Hdg 3"/>
    <w:basedOn w:val="Normal"/>
    <w:pPr>
      <w:keepNext/>
      <w:keepLines/>
      <w:widowControl/>
      <w:suppressAutoHyphens/>
      <w:spacing w:after="240"/>
      <w:outlineLvl w:val="2"/>
    </w:pPr>
    <w:rPr>
      <w:rFonts w:eastAsia="SimSun"/>
      <w:i/>
      <w:lang w:eastAsia="zh-CN"/>
    </w:rPr>
  </w:style>
  <w:style w:type="paragraph" w:customStyle="1" w:styleId="LFGraphic">
    <w:name w:val="LF Graphic"/>
    <w:basedOn w:val="LFBase"/>
    <w:pPr>
      <w:widowControl/>
      <w:spacing w:after="240"/>
      <w:jc w:val="center"/>
    </w:pPr>
  </w:style>
  <w:style w:type="paragraph" w:customStyle="1" w:styleId="LFFirmData">
    <w:name w:val="LF Firm Data"/>
    <w:basedOn w:val="LFBase"/>
    <w:pPr>
      <w:keepNext/>
      <w:widowControl/>
      <w:jc w:val="left"/>
    </w:pPr>
  </w:style>
  <w:style w:type="paragraph" w:customStyle="1" w:styleId="LFHeading1Center">
    <w:name w:val="LF Heading 1 Center"/>
    <w:basedOn w:val="LFBase"/>
    <w:pPr>
      <w:widowControl/>
      <w:spacing w:after="240"/>
      <w:jc w:val="center"/>
    </w:pPr>
  </w:style>
  <w:style w:type="paragraph" w:customStyle="1" w:styleId="EMail">
    <w:name w:val="_EMail"/>
    <w:basedOn w:val="LFFirmData"/>
    <w:pPr>
      <w:tabs>
        <w:tab w:val="left" w:pos="1080"/>
      </w:tabs>
    </w:pPr>
  </w:style>
  <w:style w:type="paragraph" w:styleId="BalloonText">
    <w:name w:val="Balloon Text"/>
    <w:basedOn w:val="Normal"/>
    <w:link w:val="BalloonTextChar"/>
    <w:rsid w:val="00A0353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03539"/>
    <w:rPr>
      <w:rFonts w:ascii="Tahoma" w:hAnsi="Tahoma" w:cs="Tahoma"/>
      <w:sz w:val="16"/>
      <w:szCs w:val="16"/>
    </w:rPr>
  </w:style>
  <w:style w:type="paragraph" w:styleId="ListParagraph">
    <w:name w:val="List Paragraph"/>
    <w:basedOn w:val="Normal"/>
    <w:uiPriority w:val="34"/>
    <w:qFormat/>
    <w:rsid w:val="00DE5102"/>
    <w:pPr>
      <w:ind w:left="720"/>
      <w:contextualSpacing/>
    </w:pPr>
  </w:style>
  <w:style w:type="character" w:customStyle="1" w:styleId="FootnoteTextChar">
    <w:name w:val="Footnote Text Char"/>
    <w:basedOn w:val="DefaultParagraphFont"/>
    <w:link w:val="FootnoteText"/>
    <w:uiPriority w:val="99"/>
    <w:rsid w:val="00DE5102"/>
    <w:rPr>
      <w:rFonts w:eastAsia="MS Mincho"/>
      <w:sz w:val="24"/>
    </w:rPr>
  </w:style>
  <w:style w:type="character" w:customStyle="1" w:styleId="term">
    <w:name w:val="term"/>
    <w:basedOn w:val="DefaultParagraphFont"/>
    <w:rsid w:val="00500BAE"/>
  </w:style>
  <w:style w:type="character" w:customStyle="1" w:styleId="term1">
    <w:name w:val="term1"/>
    <w:basedOn w:val="DefaultParagraphFont"/>
    <w:rsid w:val="006B7033"/>
    <w:rPr>
      <w:b/>
      <w:bCs/>
    </w:rPr>
  </w:style>
  <w:style w:type="character" w:customStyle="1" w:styleId="apple-converted-space">
    <w:name w:val="apple-converted-space"/>
    <w:basedOn w:val="DefaultParagraphFont"/>
    <w:rsid w:val="00800B93"/>
  </w:style>
  <w:style w:type="character" w:customStyle="1" w:styleId="FooterChar">
    <w:name w:val="Footer Char"/>
    <w:basedOn w:val="DefaultParagraphFont"/>
    <w:link w:val="Footer"/>
    <w:uiPriority w:val="99"/>
    <w:rsid w:val="00F21F1D"/>
    <w:rPr>
      <w:rFonts w:eastAsia="MS Mincho"/>
      <w:sz w:val="24"/>
    </w:rPr>
  </w:style>
  <w:style w:type="character" w:customStyle="1" w:styleId="pmterms11">
    <w:name w:val="pmterms11"/>
    <w:basedOn w:val="DefaultParagraphFont"/>
    <w:rsid w:val="009F451D"/>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7E794-83A6-4209-A28A-CAA20CC7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4593</Words>
  <Characters>26182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2000-10-11T19:09:00Z</cp:lastPrinted>
  <dcterms:created xsi:type="dcterms:W3CDTF">2013-06-10T13:16:00Z</dcterms:created>
  <dcterms:modified xsi:type="dcterms:W3CDTF">2013-06-10T13:16:00Z</dcterms:modified>
</cp:coreProperties>
</file>